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tabs>
          <w:tab w:val="left" w:pos="6120" w:leader="none"/>
        </w:tabs>
        <w:rPr>
          <w:sz w:val="22"/>
          <w:szCs w:val="22"/>
        </w:rPr>
      </w:pPr>
      <w:r>
        <w:t xml:space="preserve">                                          </w:t>
      </w:r>
      <w:r>
        <w:t xml:space="preserve">Приложение № 5 </w:t>
      </w:r>
      <w:r>
        <w:t xml:space="preserve">к договору</w:t>
      </w:r>
      <w:r>
        <w:t xml:space="preserve"> от_______           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387" w:right="21"/>
        <w:jc w:val="right"/>
      </w:pPr>
      <w:r/>
      <w:r/>
    </w:p>
    <w:p>
      <w:pPr>
        <w:pStyle w:val="902"/>
        <w:numPr>
          <w:ilvl w:val="2"/>
          <w:numId w:val="0"/>
        </w:numPr>
        <w:jc w:val="center"/>
        <w:spacing w:line="240" w:lineRule="auto"/>
        <w:tabs>
          <w:tab w:val="num" w:pos="0" w:leader="none"/>
          <w:tab w:val="num" w:pos="1134" w:leader="none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Cs w:val="28"/>
        </w:rPr>
        <w:t xml:space="preserve">Перечень банков-гарантов, удовлетворяющих требованиям ООО "</w:t>
      </w:r>
      <w:r>
        <w:rPr>
          <w:rFonts w:ascii="Liberation Serif" w:hAnsi="Liberation Serif" w:cs="Liberation Serif"/>
          <w:szCs w:val="28"/>
        </w:rPr>
        <w:t xml:space="preserve">БашРТС</w:t>
      </w:r>
      <w:r>
        <w:rPr>
          <w:rFonts w:ascii="Liberation Serif" w:hAnsi="Liberation Serif" w:cs="Liberation Serif"/>
          <w:szCs w:val="28"/>
        </w:rPr>
        <w:t xml:space="preserve">" к надежности и </w:t>
      </w:r>
      <w:r>
        <w:rPr>
          <w:rFonts w:ascii="Liberation Serif" w:hAnsi="Liberation Serif" w:cs="Liberation Serif"/>
          <w:szCs w:val="28"/>
        </w:rPr>
        <w:t xml:space="preserve">кредитоспособности  (</w:t>
      </w:r>
      <w:r>
        <w:rPr>
          <w:rFonts w:ascii="Liberation Serif" w:hAnsi="Liberation Serif" w:cs="Liberation Serif"/>
          <w:szCs w:val="28"/>
        </w:rPr>
        <w:t xml:space="preserve">с предельным сроком действия гарантии  до 2-х лет  включительно  и  суммой гарантии  не более  1 200 000 (один миллион двести тысяч) рублей с НДС)  :</w:t>
      </w:r>
      <w:r>
        <w:rPr>
          <w:rFonts w:ascii="Liberation Serif" w:hAnsi="Liberation Serif" w:cs="Liberation Serif"/>
          <w:szCs w:val="28"/>
        </w:rPr>
      </w:r>
      <w:r>
        <w:rPr>
          <w:rFonts w:ascii="Liberation Serif" w:hAnsi="Liberation Serif" w:cs="Liberation Serif"/>
          <w:szCs w:val="28"/>
        </w:rPr>
      </w:r>
    </w:p>
    <w:p>
      <w:pPr>
        <w:pStyle w:val="902"/>
        <w:numPr>
          <w:ilvl w:val="2"/>
          <w:numId w:val="0"/>
        </w:numPr>
        <w:spacing w:line="240" w:lineRule="auto"/>
        <w:tabs>
          <w:tab w:val="num" w:pos="0" w:leader="none"/>
          <w:tab w:val="num" w:pos="1134" w:leader="none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Cs w:val="28"/>
        </w:rPr>
      </w:r>
      <w:r>
        <w:rPr>
          <w:rFonts w:ascii="Liberation Serif" w:hAnsi="Liberation Serif" w:cs="Liberation Serif"/>
          <w:szCs w:val="28"/>
        </w:rPr>
      </w:r>
      <w:r>
        <w:rPr>
          <w:rFonts w:ascii="Liberation Serif" w:hAnsi="Liberation Serif" w:cs="Liberation Serif"/>
          <w:szCs w:val="28"/>
        </w:rPr>
      </w:r>
    </w:p>
    <w:p>
      <w:pPr>
        <w:pStyle w:val="902"/>
        <w:numPr>
          <w:ilvl w:val="2"/>
          <w:numId w:val="0"/>
        </w:numPr>
        <w:spacing w:line="240" w:lineRule="auto"/>
        <w:tabs>
          <w:tab w:val="num" w:pos="0" w:leader="none"/>
          <w:tab w:val="num" w:pos="1134" w:leader="none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Cs w:val="28"/>
        </w:rPr>
      </w:r>
      <w:r>
        <w:rPr>
          <w:rFonts w:ascii="Liberation Serif" w:hAnsi="Liberation Serif" w:cs="Liberation Serif"/>
          <w:szCs w:val="28"/>
        </w:rPr>
      </w:r>
      <w:r>
        <w:rPr>
          <w:rFonts w:ascii="Liberation Serif" w:hAnsi="Liberation Serif" w:cs="Liberation Serif"/>
          <w:szCs w:val="28"/>
        </w:rPr>
      </w:r>
    </w:p>
    <w:p>
      <w:pPr>
        <w:pStyle w:val="902"/>
        <w:numPr>
          <w:ilvl w:val="2"/>
          <w:numId w:val="0"/>
        </w:numPr>
        <w:spacing w:line="240" w:lineRule="auto"/>
        <w:tabs>
          <w:tab w:val="num" w:pos="0" w:leader="none"/>
          <w:tab w:val="num" w:pos="1134" w:leader="none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Cs w:val="28"/>
        </w:rPr>
      </w:r>
      <w:r>
        <w:rPr>
          <w:rFonts w:ascii="Liberation Serif" w:hAnsi="Liberation Serif" w:cs="Liberation Serif"/>
          <w:szCs w:val="28"/>
        </w:rPr>
      </w:r>
      <w:r>
        <w:rPr>
          <w:rFonts w:ascii="Liberation Serif" w:hAnsi="Liberation Serif" w:cs="Liberation Serif"/>
          <w:szCs w:val="28"/>
        </w:rPr>
      </w:r>
    </w:p>
    <w:p>
      <w:pPr>
        <w:pStyle w:val="902"/>
        <w:numPr>
          <w:ilvl w:val="2"/>
          <w:numId w:val="0"/>
        </w:numPr>
        <w:spacing w:line="240" w:lineRule="auto"/>
        <w:tabs>
          <w:tab w:val="num" w:pos="0" w:leader="none"/>
          <w:tab w:val="num" w:pos="1134" w:leader="none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Cs w:val="28"/>
        </w:rPr>
      </w:r>
      <w:r>
        <w:rPr>
          <w:rFonts w:ascii="Liberation Serif" w:hAnsi="Liberation Serif" w:cs="Liberation Serif"/>
          <w:szCs w:val="28"/>
        </w:rPr>
      </w:r>
      <w:r>
        <w:rPr>
          <w:rFonts w:ascii="Liberation Serif" w:hAnsi="Liberation Serif" w:cs="Liberation Serif"/>
          <w:szCs w:val="28"/>
        </w:rPr>
      </w:r>
    </w:p>
    <w:p>
      <w:pPr>
        <w:ind w:firstLine="709"/>
        <w:jc w:val="both"/>
        <w:keepNext/>
        <w:widowControl w:val="off"/>
        <w:tabs>
          <w:tab w:val="left" w:pos="567" w:leader="none"/>
        </w:tabs>
        <w:rPr>
          <w:rFonts w:ascii="Liberation Serif" w:hAnsi="Liberation Serif" w:cs="Liberation Serif"/>
          <w:bCs/>
          <w:color w:val="000000"/>
          <w:sz w:val="28"/>
          <w:szCs w:val="28"/>
        </w:rPr>
      </w:pPr>
      <w:r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Гарантии (резервные аккредитивы), сумма которых не превышает 1 200 000 (один миллион двести тысяч) рублей с НДС включительно и сроком действи</w:t>
      </w:r>
      <w:r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я до 2-х лет включительно, могут быть приняты от банков, предусмотренных частью 1 статьи 45 Федерального закона от 5 апреля 2013 года N 44-ФЗ «О контрактной системе в сфере закупок товаров, работ, услуг для обеспечения государственных и муниципальных нужд»</w:t>
      </w:r>
      <w:r>
        <w:rPr>
          <w:rFonts w:ascii="Liberation Serif" w:hAnsi="Liberation Serif" w:cs="Liberation Serif"/>
          <w:bCs/>
          <w:color w:val="000000"/>
          <w:sz w:val="28"/>
          <w:szCs w:val="28"/>
          <w:vertAlign w:val="superscript"/>
        </w:rPr>
        <w:footnoteReference w:id="2"/>
      </w:r>
      <w:r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.</w:t>
      </w:r>
      <w:r>
        <w:rPr>
          <w:rFonts w:ascii="Liberation Serif" w:hAnsi="Liberation Serif" w:cs="Liberation Serif"/>
          <w:bCs/>
          <w:color w:val="000000"/>
          <w:sz w:val="28"/>
          <w:szCs w:val="28"/>
        </w:rPr>
      </w:r>
      <w:r>
        <w:rPr>
          <w:rFonts w:ascii="Liberation Serif" w:hAnsi="Liberation Serif" w:cs="Liberation Serif"/>
          <w:bCs/>
          <w:color w:val="000000"/>
          <w:sz w:val="28"/>
          <w:szCs w:val="28"/>
        </w:rPr>
      </w:r>
    </w:p>
    <w:p>
      <w:pPr>
        <w:ind w:firstLine="709"/>
        <w:jc w:val="both"/>
        <w:keepNext/>
        <w:widowControl w:val="off"/>
        <w:tabs>
          <w:tab w:val="left" w:pos="567" w:leader="none"/>
        </w:tabs>
        <w:rPr>
          <w:rFonts w:ascii="Liberation Serif" w:hAnsi="Liberation Serif" w:cs="Liberation Serif"/>
          <w:bCs/>
          <w:color w:val="000000"/>
          <w:sz w:val="28"/>
          <w:szCs w:val="28"/>
        </w:rPr>
      </w:pPr>
      <w:r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В случае выхода банка из перечня согласно части 1 статьи 45 Федерального закона от 5 апреля 2013 года N 44-ФЗ  ООО «</w:t>
      </w:r>
      <w:r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БашРТС</w:t>
      </w:r>
      <w:r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» не должно проводить операции, направленные на уве</w:t>
      </w:r>
      <w:r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личение совокупного размера уже принятых гарантий данного эмитента, а также рекомендуется требовать замены обеспечения (в соответствии с актуальными положениями законодательства Российской Федерации в случае возникновения такой обоснованной необходимости).</w:t>
      </w:r>
      <w:r>
        <w:rPr>
          <w:rFonts w:ascii="Liberation Serif" w:hAnsi="Liberation Serif" w:cs="Liberation Serif"/>
          <w:bCs/>
          <w:color w:val="000000"/>
          <w:sz w:val="28"/>
          <w:szCs w:val="28"/>
        </w:rPr>
      </w:r>
      <w:r>
        <w:rPr>
          <w:rFonts w:ascii="Liberation Serif" w:hAnsi="Liberation Serif" w:cs="Liberation Serif"/>
          <w:bCs/>
          <w:color w:val="000000"/>
          <w:sz w:val="28"/>
          <w:szCs w:val="28"/>
        </w:rPr>
      </w:r>
    </w:p>
    <w:p>
      <w:pPr>
        <w:pStyle w:val="902"/>
        <w:numPr>
          <w:ilvl w:val="2"/>
          <w:numId w:val="0"/>
        </w:numPr>
        <w:spacing w:line="240" w:lineRule="auto"/>
        <w:tabs>
          <w:tab w:val="num" w:pos="0" w:leader="none"/>
          <w:tab w:val="num" w:pos="1134" w:leader="none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Cs w:val="28"/>
        </w:rPr>
      </w:r>
      <w:r>
        <w:rPr>
          <w:rFonts w:ascii="Liberation Serif" w:hAnsi="Liberation Serif" w:cs="Liberation Serif"/>
          <w:szCs w:val="28"/>
        </w:rPr>
      </w:r>
      <w:r>
        <w:rPr>
          <w:rFonts w:ascii="Liberation Serif" w:hAnsi="Liberation Serif" w:cs="Liberation Serif"/>
          <w:szCs w:val="28"/>
        </w:rPr>
      </w:r>
    </w:p>
    <w:p>
      <w:pPr>
        <w:pStyle w:val="902"/>
        <w:numPr>
          <w:ilvl w:val="2"/>
          <w:numId w:val="0"/>
        </w:numPr>
        <w:spacing w:line="240" w:lineRule="auto"/>
        <w:tabs>
          <w:tab w:val="num" w:pos="0" w:leader="none"/>
          <w:tab w:val="num" w:pos="1134" w:leader="none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Cs w:val="28"/>
        </w:rPr>
      </w:r>
      <w:r>
        <w:rPr>
          <w:rFonts w:ascii="Liberation Serif" w:hAnsi="Liberation Serif" w:cs="Liberation Serif"/>
          <w:szCs w:val="28"/>
        </w:rPr>
      </w:r>
      <w:r>
        <w:rPr>
          <w:rFonts w:ascii="Liberation Serif" w:hAnsi="Liberation Serif" w:cs="Liberation Serif"/>
          <w:szCs w:val="28"/>
        </w:rPr>
      </w:r>
    </w:p>
    <w:p>
      <w:pPr>
        <w:pStyle w:val="902"/>
        <w:numPr>
          <w:ilvl w:val="2"/>
          <w:numId w:val="0"/>
        </w:numPr>
        <w:spacing w:line="240" w:lineRule="auto"/>
        <w:tabs>
          <w:tab w:val="num" w:pos="0" w:leader="none"/>
          <w:tab w:val="num" w:pos="1134" w:leader="none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Cs w:val="28"/>
        </w:rPr>
      </w:r>
      <w:r>
        <w:rPr>
          <w:rFonts w:ascii="Liberation Serif" w:hAnsi="Liberation Serif" w:cs="Liberation Serif"/>
          <w:szCs w:val="28"/>
        </w:rPr>
      </w:r>
      <w:r>
        <w:rPr>
          <w:rFonts w:ascii="Liberation Serif" w:hAnsi="Liberation Serif" w:cs="Liberation Serif"/>
          <w:szCs w:val="28"/>
        </w:rPr>
      </w:r>
    </w:p>
    <w:p>
      <w:pPr>
        <w:pStyle w:val="902"/>
        <w:numPr>
          <w:ilvl w:val="2"/>
          <w:numId w:val="0"/>
        </w:numPr>
        <w:spacing w:line="240" w:lineRule="auto"/>
        <w:tabs>
          <w:tab w:val="num" w:pos="0" w:leader="none"/>
          <w:tab w:val="num" w:pos="1134" w:leader="none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Cs w:val="28"/>
        </w:rPr>
      </w:r>
      <w:r>
        <w:rPr>
          <w:rFonts w:ascii="Liberation Serif" w:hAnsi="Liberation Serif" w:cs="Liberation Serif"/>
          <w:szCs w:val="28"/>
        </w:rPr>
      </w:r>
      <w:r>
        <w:rPr>
          <w:rFonts w:ascii="Liberation Serif" w:hAnsi="Liberation Serif" w:cs="Liberation Serif"/>
          <w:szCs w:val="28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line="259" w:lineRule="auto"/>
        <w:rPr>
          <w:rFonts w:ascii="Liberation Serif" w:hAnsi="Liberation Serif" w:cs="Liberation Serif" w:eastAsiaTheme="minorHAnsi"/>
          <w:color w:val="000000"/>
          <w:sz w:val="28"/>
          <w:lang w:eastAsia="en-US"/>
        </w:rPr>
      </w:pPr>
      <w:r>
        <w:rPr>
          <w:rFonts w:ascii="Liberation Serif" w:hAnsi="Liberation Serif" w:cs="Liberation Serif" w:eastAsiaTheme="minorHAnsi"/>
          <w:color w:val="000000"/>
          <w:sz w:val="28"/>
          <w:lang w:eastAsia="en-US"/>
        </w:rPr>
        <w:t xml:space="preserve">Гарантии, бенефициаром по которым является ООО «</w:t>
      </w:r>
      <w:r>
        <w:rPr>
          <w:rFonts w:ascii="Liberation Serif" w:hAnsi="Liberation Serif" w:cs="Liberation Serif" w:eastAsiaTheme="minorHAnsi"/>
          <w:color w:val="000000"/>
          <w:sz w:val="28"/>
          <w:lang w:eastAsia="en-US"/>
        </w:rPr>
        <w:t xml:space="preserve">БашРТС</w:t>
      </w:r>
      <w:r>
        <w:rPr>
          <w:rFonts w:ascii="Liberation Serif" w:hAnsi="Liberation Serif" w:cs="Liberation Serif" w:eastAsiaTheme="minorHAnsi"/>
          <w:color w:val="000000"/>
          <w:sz w:val="28"/>
          <w:lang w:eastAsia="en-US"/>
        </w:rPr>
        <w:t xml:space="preserve">», могут быть приняты от банков и/или иных организаций, не являющихся резидентами Российской Федерации, которые удовлетворяют следующим требованиям:</w:t>
      </w:r>
      <w:r>
        <w:rPr>
          <w:rFonts w:ascii="Liberation Serif" w:hAnsi="Liberation Serif" w:cs="Liberation Serif" w:eastAsiaTheme="minorHAnsi"/>
          <w:color w:val="000000"/>
          <w:sz w:val="28"/>
          <w:lang w:eastAsia="en-US"/>
        </w:rPr>
      </w:r>
      <w:r>
        <w:rPr>
          <w:rFonts w:ascii="Liberation Serif" w:hAnsi="Liberation Serif" w:cs="Liberation Serif" w:eastAsiaTheme="minorHAnsi"/>
          <w:color w:val="000000"/>
          <w:sz w:val="28"/>
          <w:lang w:eastAsia="en-US"/>
        </w:rPr>
      </w:r>
    </w:p>
    <w:p>
      <w:pPr>
        <w:ind w:firstLine="709"/>
        <w:jc w:val="both"/>
        <w:spacing w:line="259" w:lineRule="auto"/>
        <w:rPr>
          <w:rFonts w:ascii="Liberation Serif" w:hAnsi="Liberation Serif" w:cs="Liberation Serif" w:eastAsiaTheme="minorHAnsi"/>
          <w:color w:val="000000"/>
          <w:sz w:val="28"/>
          <w:lang w:eastAsia="en-US"/>
        </w:rPr>
      </w:pPr>
      <w:r>
        <w:rPr>
          <w:rFonts w:ascii="Liberation Serif" w:hAnsi="Liberation Serif" w:cs="Liberation Serif" w:eastAsiaTheme="minorHAnsi"/>
          <w:color w:val="000000"/>
          <w:sz w:val="28"/>
          <w:lang w:eastAsia="en-US"/>
        </w:rPr>
      </w:r>
      <w:r>
        <w:rPr>
          <w:rFonts w:ascii="Liberation Serif" w:hAnsi="Liberation Serif" w:cs="Liberation Serif" w:eastAsiaTheme="minorHAnsi"/>
          <w:color w:val="000000"/>
          <w:sz w:val="28"/>
          <w:lang w:eastAsia="en-US"/>
        </w:rPr>
      </w:r>
      <w:r>
        <w:rPr>
          <w:rFonts w:ascii="Liberation Serif" w:hAnsi="Liberation Serif" w:cs="Liberation Serif" w:eastAsiaTheme="minorHAnsi"/>
          <w:color w:val="000000"/>
          <w:sz w:val="28"/>
          <w:lang w:eastAsia="en-US"/>
        </w:rPr>
      </w:r>
    </w:p>
    <w:p>
      <w:pPr>
        <w:ind w:firstLine="709"/>
        <w:jc w:val="both"/>
        <w:spacing w:line="259" w:lineRule="auto"/>
        <w:rPr>
          <w:rFonts w:ascii="Liberation Serif" w:hAnsi="Liberation Serif" w:cs="Liberation Serif" w:eastAsiaTheme="minorHAnsi"/>
          <w:color w:val="000000"/>
          <w:sz w:val="28"/>
          <w:lang w:eastAsia="en-US"/>
        </w:rPr>
      </w:pPr>
      <w:r>
        <w:rPr>
          <w:rFonts w:ascii="Liberation Serif" w:hAnsi="Liberation Serif" w:cs="Liberation Serif" w:eastAsiaTheme="minorHAnsi"/>
          <w:color w:val="000000"/>
          <w:sz w:val="28"/>
          <w:lang w:eastAsia="en-US"/>
        </w:rPr>
      </w:r>
      <w:r>
        <w:rPr>
          <w:rFonts w:ascii="Liberation Serif" w:hAnsi="Liberation Serif" w:cs="Liberation Serif" w:eastAsiaTheme="minorHAnsi"/>
          <w:color w:val="000000"/>
          <w:sz w:val="28"/>
          <w:lang w:eastAsia="en-US"/>
        </w:rPr>
      </w:r>
      <w:r>
        <w:rPr>
          <w:rFonts w:ascii="Liberation Serif" w:hAnsi="Liberation Serif" w:cs="Liberation Serif" w:eastAsiaTheme="minorHAnsi"/>
          <w:color w:val="000000"/>
          <w:sz w:val="28"/>
          <w:lang w:eastAsia="en-US"/>
        </w:rPr>
      </w:r>
    </w:p>
    <w:p>
      <w:pPr>
        <w:ind w:firstLine="709"/>
        <w:jc w:val="both"/>
        <w:spacing w:line="259" w:lineRule="auto"/>
        <w:rPr>
          <w:rFonts w:ascii="Liberation Serif" w:hAnsi="Liberation Serif" w:cs="Liberation Serif" w:eastAsiaTheme="minorHAnsi"/>
          <w:color w:val="000000"/>
          <w:sz w:val="28"/>
          <w:lang w:eastAsia="en-US"/>
        </w:rPr>
      </w:pPr>
      <w:r>
        <w:rPr>
          <w:rFonts w:ascii="Liberation Serif" w:hAnsi="Liberation Serif" w:cs="Liberation Serif" w:eastAsiaTheme="minorHAnsi"/>
          <w:color w:val="000000"/>
          <w:sz w:val="28"/>
          <w:lang w:eastAsia="en-US"/>
        </w:rPr>
      </w:r>
      <w:r>
        <w:rPr>
          <w:rFonts w:ascii="Liberation Serif" w:hAnsi="Liberation Serif" w:cs="Liberation Serif" w:eastAsiaTheme="minorHAnsi"/>
          <w:color w:val="000000"/>
          <w:sz w:val="28"/>
          <w:lang w:eastAsia="en-US"/>
        </w:rPr>
      </w:r>
      <w:r>
        <w:rPr>
          <w:rFonts w:ascii="Liberation Serif" w:hAnsi="Liberation Serif" w:cs="Liberation Serif" w:eastAsiaTheme="minorHAnsi"/>
          <w:color w:val="000000"/>
          <w:sz w:val="28"/>
          <w:lang w:eastAsia="en-US"/>
        </w:rPr>
      </w:r>
    </w:p>
    <w:p>
      <w:pPr>
        <w:ind w:firstLine="709"/>
        <w:spacing w:line="259" w:lineRule="auto"/>
        <w:rPr>
          <w:rFonts w:ascii="Liberation Serif" w:hAnsi="Liberation Serif" w:cs="Liberation Serif" w:eastAsiaTheme="minorHAnsi"/>
          <w:color w:val="000000"/>
          <w:sz w:val="16"/>
          <w:szCs w:val="16"/>
          <w:lang w:eastAsia="en-US"/>
        </w:rPr>
      </w:pPr>
      <w:r>
        <w:rPr>
          <w:rFonts w:ascii="Liberation Serif" w:hAnsi="Liberation Serif" w:cs="Liberation Serif" w:eastAsiaTheme="minorHAnsi"/>
          <w:color w:val="000000"/>
          <w:sz w:val="16"/>
          <w:szCs w:val="16"/>
          <w:lang w:eastAsia="en-US"/>
        </w:rPr>
      </w:r>
      <w:r>
        <w:rPr>
          <w:rFonts w:ascii="Liberation Serif" w:hAnsi="Liberation Serif" w:cs="Liberation Serif" w:eastAsiaTheme="minorHAnsi"/>
          <w:color w:val="000000"/>
          <w:sz w:val="16"/>
          <w:szCs w:val="16"/>
          <w:lang w:eastAsia="en-US"/>
        </w:rPr>
      </w:r>
      <w:r>
        <w:rPr>
          <w:rFonts w:ascii="Liberation Serif" w:hAnsi="Liberation Serif" w:cs="Liberation Serif" w:eastAsiaTheme="minorHAnsi"/>
          <w:color w:val="000000"/>
          <w:sz w:val="16"/>
          <w:szCs w:val="16"/>
          <w:lang w:eastAsia="en-US"/>
        </w:rPr>
      </w:r>
    </w:p>
    <w:tbl>
      <w:tblPr>
        <w:tblStyle w:val="903"/>
        <w:tblW w:w="11057" w:type="dxa"/>
        <w:tblInd w:w="-1168" w:type="dxa"/>
        <w:tblLook w:val="04A0" w:firstRow="1" w:lastRow="0" w:firstColumn="1" w:lastColumn="0" w:noHBand="0" w:noVBand="1"/>
      </w:tblPr>
      <w:tblGrid>
        <w:gridCol w:w="3828"/>
        <w:gridCol w:w="7229"/>
      </w:tblGrid>
      <w:tr>
        <w:tblPrEx/>
        <w:trPr>
          <w:trHeight w:val="5496"/>
        </w:trPr>
        <w:tc>
          <w:tcPr>
            <w:tcW w:w="382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1 категория</w:t>
            </w:r>
            <w:r>
              <w:rPr>
                <w:rFonts w:ascii="Liberation Serif" w:hAnsi="Liberation Serif" w:cs="Liberation Serif"/>
                <w:b/>
              </w:rPr>
            </w:r>
            <w:r>
              <w:rPr>
                <w:rFonts w:ascii="Liberation Serif" w:hAnsi="Liberation Serif" w:cs="Liberation Serif"/>
                <w:b/>
              </w:rPr>
            </w:r>
          </w:p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Общая сумма всех (действующих) принятых гарантий от одного Гаранта не должна превышать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b/>
              </w:rPr>
              <w:t xml:space="preserve">Лимит = 6,5% от капитала</w:t>
            </w:r>
            <w:r>
              <w:rPr>
                <w:rFonts w:ascii="Liberation Serif" w:hAnsi="Liberation Serif" w:cs="Liberation Serif"/>
              </w:rPr>
              <w:t xml:space="preserve"> Гаранта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7229" w:type="dxa"/>
            <w:vAlign w:val="center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Гаранту присвоен рейтинг долгосрочной кредитоспособности не ниже: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numPr>
                <w:ilvl w:val="0"/>
                <w:numId w:val="3"/>
              </w:num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BB- по классификации рейтинговых агентств </w:t>
            </w:r>
            <w:r>
              <w:rPr>
                <w:rFonts w:ascii="Liberation Serif" w:hAnsi="Liberation Serif" w:cs="Liberation Serif"/>
              </w:rPr>
              <w:t xml:space="preserve">Fitch</w:t>
            </w:r>
            <w:r>
              <w:rPr>
                <w:rFonts w:ascii="Liberation Serif" w:hAnsi="Liberation Serif" w:cs="Liberation Serif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 xml:space="preserve">Ratings</w:t>
            </w:r>
            <w:r>
              <w:rPr>
                <w:rFonts w:ascii="Liberation Serif" w:hAnsi="Liberation Serif" w:cs="Liberation Serif"/>
              </w:rPr>
              <w:t xml:space="preserve"> или </w:t>
            </w:r>
            <w:r>
              <w:rPr>
                <w:rFonts w:ascii="Liberation Serif" w:hAnsi="Liberation Serif" w:cs="Liberation Serif"/>
              </w:rPr>
              <w:t xml:space="preserve">Standard</w:t>
            </w:r>
            <w:r>
              <w:rPr>
                <w:rFonts w:ascii="Liberation Serif" w:hAnsi="Liberation Serif" w:cs="Liberation Serif"/>
              </w:rPr>
              <w:t xml:space="preserve"> &amp; </w:t>
            </w:r>
            <w:r>
              <w:rPr>
                <w:rFonts w:ascii="Liberation Serif" w:hAnsi="Liberation Serif" w:cs="Liberation Serif"/>
              </w:rPr>
              <w:t xml:space="preserve">Poor’s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numPr>
                <w:ilvl w:val="0"/>
                <w:numId w:val="3"/>
              </w:num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Ba3 по классификации </w:t>
            </w:r>
            <w:r>
              <w:rPr>
                <w:rFonts w:ascii="Liberation Serif" w:hAnsi="Liberation Serif" w:cs="Liberation Serif"/>
              </w:rPr>
              <w:t xml:space="preserve">Moody’s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numPr>
                <w:ilvl w:val="0"/>
                <w:numId w:val="3"/>
              </w:num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А+(RU) по классификации АКРА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numPr>
                <w:ilvl w:val="0"/>
                <w:numId w:val="3"/>
              </w:num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ruА</w:t>
            </w:r>
            <w:r>
              <w:rPr>
                <w:rFonts w:ascii="Liberation Serif" w:hAnsi="Liberation Serif" w:cs="Liberation Serif"/>
              </w:rPr>
              <w:t xml:space="preserve">+ по классификации Эксперт РА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numPr>
                <w:ilvl w:val="0"/>
                <w:numId w:val="3"/>
              </w:num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соответствующих уровней по классификации иных ведущих рейтинговых агентств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или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Преобладающий контроль (более 50% акционерного капитала Гаранта) прямо или косвенно принадлежит: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numPr>
                <w:ilvl w:val="0"/>
                <w:numId w:val="3"/>
              </w:num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Российской Федерации;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numPr>
                <w:ilvl w:val="0"/>
                <w:numId w:val="3"/>
              </w:num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иному иностранному государству*;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numPr>
                <w:ilvl w:val="0"/>
                <w:numId w:val="3"/>
              </w:num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устойчивой промышленной и/или финансовой группе* Российской Федерации / иного </w:t>
            </w:r>
            <w:r>
              <w:rPr>
                <w:rFonts w:ascii="Liberation Serif" w:hAnsi="Liberation Serif" w:cs="Liberation Serif"/>
              </w:rPr>
              <w:t xml:space="preserve">резидентства</w:t>
            </w:r>
            <w:r>
              <w:rPr>
                <w:rFonts w:ascii="Liberation Serif" w:hAnsi="Liberation Serif" w:cs="Liberation Serif"/>
              </w:rPr>
              <w:t xml:space="preserve">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rPr>
                <w:rFonts w:ascii="Liberation Serif" w:hAnsi="Liberation Serif" w:cs="Liberation Serif"/>
                <w:i/>
              </w:rPr>
            </w:pPr>
            <w:r>
              <w:rPr>
                <w:rFonts w:ascii="Liberation Serif" w:hAnsi="Liberation Serif" w:cs="Liberation Serif"/>
                <w:i/>
              </w:rPr>
              <w:t xml:space="preserve">*если при этом такому иностранному государству или соответствующей промышленной / финансовой группе присвоен рейтинг долгосрочной кредитоспособности не ниже:</w:t>
            </w:r>
            <w:r>
              <w:rPr>
                <w:rFonts w:ascii="Liberation Serif" w:hAnsi="Liberation Serif" w:cs="Liberation Serif"/>
                <w:i/>
              </w:rPr>
            </w:r>
            <w:r>
              <w:rPr>
                <w:rFonts w:ascii="Liberation Serif" w:hAnsi="Liberation Serif" w:cs="Liberation Serif"/>
                <w:i/>
              </w:rPr>
            </w:r>
          </w:p>
          <w:p>
            <w:pPr>
              <w:numPr>
                <w:ilvl w:val="0"/>
                <w:numId w:val="3"/>
              </w:numPr>
              <w:jc w:val="both"/>
              <w:rPr>
                <w:rFonts w:ascii="Liberation Serif" w:hAnsi="Liberation Serif" w:cs="Liberation Serif"/>
                <w:i/>
              </w:rPr>
            </w:pPr>
            <w:r>
              <w:rPr>
                <w:rFonts w:ascii="Liberation Serif" w:hAnsi="Liberation Serif" w:cs="Liberation Serif"/>
                <w:i/>
              </w:rPr>
              <w:t xml:space="preserve">BB- по классификации рейтинговых агентств </w:t>
            </w:r>
            <w:r>
              <w:rPr>
                <w:rFonts w:ascii="Liberation Serif" w:hAnsi="Liberation Serif" w:cs="Liberation Serif"/>
                <w:i/>
              </w:rPr>
              <w:t xml:space="preserve">Fitch</w:t>
            </w:r>
            <w:r>
              <w:rPr>
                <w:rFonts w:ascii="Liberation Serif" w:hAnsi="Liberation Serif" w:cs="Liberation Serif"/>
                <w:i/>
              </w:rPr>
              <w:t xml:space="preserve"> </w:t>
            </w:r>
            <w:r>
              <w:rPr>
                <w:rFonts w:ascii="Liberation Serif" w:hAnsi="Liberation Serif" w:cs="Liberation Serif"/>
                <w:i/>
              </w:rPr>
              <w:t xml:space="preserve">Ratings</w:t>
            </w:r>
            <w:r>
              <w:rPr>
                <w:rFonts w:ascii="Liberation Serif" w:hAnsi="Liberation Serif" w:cs="Liberation Serif"/>
                <w:i/>
              </w:rPr>
              <w:t xml:space="preserve"> или </w:t>
            </w:r>
            <w:r>
              <w:rPr>
                <w:rFonts w:ascii="Liberation Serif" w:hAnsi="Liberation Serif" w:cs="Liberation Serif"/>
                <w:i/>
              </w:rPr>
              <w:t xml:space="preserve">Standard</w:t>
            </w:r>
            <w:r>
              <w:rPr>
                <w:rFonts w:ascii="Liberation Serif" w:hAnsi="Liberation Serif" w:cs="Liberation Serif"/>
                <w:i/>
              </w:rPr>
              <w:t xml:space="preserve"> &amp; </w:t>
            </w:r>
            <w:r>
              <w:rPr>
                <w:rFonts w:ascii="Liberation Serif" w:hAnsi="Liberation Serif" w:cs="Liberation Serif"/>
                <w:i/>
              </w:rPr>
              <w:t xml:space="preserve">Poor’s</w:t>
            </w:r>
            <w:r>
              <w:rPr>
                <w:rFonts w:ascii="Liberation Serif" w:hAnsi="Liberation Serif" w:cs="Liberation Serif"/>
                <w:i/>
              </w:rPr>
              <w:t xml:space="preserve"> </w:t>
            </w:r>
            <w:r>
              <w:rPr>
                <w:rFonts w:ascii="Liberation Serif" w:hAnsi="Liberation Serif" w:cs="Liberation Serif"/>
                <w:i/>
              </w:rPr>
            </w:r>
            <w:r>
              <w:rPr>
                <w:rFonts w:ascii="Liberation Serif" w:hAnsi="Liberation Serif" w:cs="Liberation Serif"/>
                <w:i/>
              </w:rPr>
            </w:r>
          </w:p>
          <w:p>
            <w:pPr>
              <w:numPr>
                <w:ilvl w:val="0"/>
                <w:numId w:val="3"/>
              </w:numPr>
              <w:jc w:val="both"/>
              <w:rPr>
                <w:rFonts w:ascii="Liberation Serif" w:hAnsi="Liberation Serif" w:cs="Liberation Serif"/>
                <w:i/>
              </w:rPr>
            </w:pPr>
            <w:r>
              <w:rPr>
                <w:rFonts w:ascii="Liberation Serif" w:hAnsi="Liberation Serif" w:cs="Liberation Serif"/>
                <w:i/>
              </w:rPr>
              <w:t xml:space="preserve">Ba3 по классификации </w:t>
            </w:r>
            <w:r>
              <w:rPr>
                <w:rFonts w:ascii="Liberation Serif" w:hAnsi="Liberation Serif" w:cs="Liberation Serif"/>
                <w:i/>
              </w:rPr>
              <w:t xml:space="preserve">Moody’s</w:t>
            </w:r>
            <w:r>
              <w:rPr>
                <w:rFonts w:ascii="Liberation Serif" w:hAnsi="Liberation Serif" w:cs="Liberation Serif"/>
                <w:i/>
              </w:rPr>
            </w:r>
            <w:r>
              <w:rPr>
                <w:rFonts w:ascii="Liberation Serif" w:hAnsi="Liberation Serif" w:cs="Liberation Serif"/>
                <w:i/>
              </w:rPr>
            </w:r>
          </w:p>
          <w:p>
            <w:pPr>
              <w:numPr>
                <w:ilvl w:val="0"/>
                <w:numId w:val="3"/>
              </w:numPr>
              <w:jc w:val="both"/>
              <w:rPr>
                <w:rFonts w:ascii="Liberation Serif" w:hAnsi="Liberation Serif" w:cs="Liberation Serif"/>
                <w:i/>
              </w:rPr>
            </w:pPr>
            <w:r>
              <w:rPr>
                <w:rFonts w:ascii="Liberation Serif" w:hAnsi="Liberation Serif" w:cs="Liberation Serif"/>
                <w:i/>
              </w:rPr>
              <w:t xml:space="preserve">А+(RU) по классификации АКРА</w:t>
            </w:r>
            <w:r>
              <w:rPr>
                <w:rFonts w:ascii="Liberation Serif" w:hAnsi="Liberation Serif" w:cs="Liberation Serif"/>
                <w:i/>
              </w:rPr>
            </w:r>
            <w:r>
              <w:rPr>
                <w:rFonts w:ascii="Liberation Serif" w:hAnsi="Liberation Serif" w:cs="Liberation Serif"/>
                <w:i/>
              </w:rPr>
            </w:r>
          </w:p>
          <w:p>
            <w:pPr>
              <w:numPr>
                <w:ilvl w:val="0"/>
                <w:numId w:val="3"/>
              </w:numPr>
              <w:jc w:val="both"/>
              <w:rPr>
                <w:rFonts w:ascii="Liberation Serif" w:hAnsi="Liberation Serif" w:cs="Liberation Serif"/>
                <w:i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i/>
              </w:rPr>
              <w:t xml:space="preserve">ruА</w:t>
            </w:r>
            <w:r>
              <w:rPr>
                <w:rFonts w:ascii="Liberation Serif" w:hAnsi="Liberation Serif" w:cs="Liberation Serif"/>
                <w:i/>
              </w:rPr>
              <w:t xml:space="preserve">+ по классификации Эксперт РА</w:t>
            </w:r>
            <w:r>
              <w:rPr>
                <w:rFonts w:ascii="Liberation Serif" w:hAnsi="Liberation Serif" w:cs="Liberation Serif"/>
                <w:i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i/>
                <w:sz w:val="20"/>
                <w:szCs w:val="20"/>
              </w:rPr>
            </w:r>
          </w:p>
          <w:p>
            <w:pPr>
              <w:numPr>
                <w:ilvl w:val="0"/>
                <w:numId w:val="3"/>
              </w:numPr>
              <w:jc w:val="both"/>
              <w:spacing w:after="120"/>
              <w:rPr>
                <w:rFonts w:ascii="Liberation Serif" w:hAnsi="Liberation Serif" w:cs="Liberation Serif"/>
                <w:i/>
              </w:rPr>
            </w:pPr>
            <w:r>
              <w:rPr>
                <w:rFonts w:ascii="Liberation Serif" w:hAnsi="Liberation Serif" w:cs="Liberation Serif"/>
                <w:i/>
              </w:rPr>
              <w:t xml:space="preserve">соответствующих уровней по классификации иных ведущих рейтинговых агентств</w:t>
            </w:r>
            <w:r>
              <w:rPr>
                <w:rFonts w:ascii="Liberation Serif" w:hAnsi="Liberation Serif" w:cs="Liberation Serif"/>
                <w:i/>
              </w:rPr>
            </w:r>
            <w:r>
              <w:rPr>
                <w:rFonts w:ascii="Liberation Serif" w:hAnsi="Liberation Serif" w:cs="Liberation Serif"/>
                <w:i/>
              </w:rPr>
            </w:r>
          </w:p>
        </w:tc>
      </w:tr>
      <w:tr>
        <w:tblPrEx/>
        <w:trPr>
          <w:trHeight w:val="5516"/>
        </w:trPr>
        <w:tc>
          <w:tcPr>
            <w:tcW w:w="382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2 категория</w:t>
            </w:r>
            <w:r>
              <w:rPr>
                <w:rFonts w:ascii="Liberation Serif" w:hAnsi="Liberation Serif" w:cs="Liberation Serif"/>
                <w:b/>
              </w:rPr>
            </w:r>
            <w:r>
              <w:rPr>
                <w:rFonts w:ascii="Liberation Serif" w:hAnsi="Liberation Serif" w:cs="Liberation Serif"/>
                <w:b/>
              </w:rPr>
            </w:r>
          </w:p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Общая сумма всех (действующих) принятых гарантий от одного Гаранта не должна превышать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b/>
              </w:rPr>
              <w:t xml:space="preserve">Лимит = 0,65% от капитала</w:t>
            </w:r>
            <w:r>
              <w:rPr>
                <w:rFonts w:ascii="Liberation Serif" w:hAnsi="Liberation Serif" w:cs="Liberation Serif"/>
              </w:rPr>
              <w:t xml:space="preserve"> Гаранта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7229" w:type="dxa"/>
            <w:vAlign w:val="center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Гаранту присвоен рейтинг долгосрочной кредитоспособности не ниже: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numPr>
                <w:ilvl w:val="0"/>
                <w:numId w:val="4"/>
              </w:num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B- по классификации рейтинговых агентств </w:t>
            </w:r>
            <w:r>
              <w:rPr>
                <w:rFonts w:ascii="Liberation Serif" w:hAnsi="Liberation Serif" w:cs="Liberation Serif"/>
              </w:rPr>
              <w:t xml:space="preserve">Fitch</w:t>
            </w:r>
            <w:r>
              <w:rPr>
                <w:rFonts w:ascii="Liberation Serif" w:hAnsi="Liberation Serif" w:cs="Liberation Serif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 xml:space="preserve">Ratings</w:t>
            </w:r>
            <w:r>
              <w:rPr>
                <w:rFonts w:ascii="Liberation Serif" w:hAnsi="Liberation Serif" w:cs="Liberation Serif"/>
              </w:rPr>
              <w:t xml:space="preserve"> или </w:t>
            </w:r>
            <w:r>
              <w:rPr>
                <w:rFonts w:ascii="Liberation Serif" w:hAnsi="Liberation Serif" w:cs="Liberation Serif"/>
              </w:rPr>
              <w:t xml:space="preserve">Standard</w:t>
            </w:r>
            <w:r>
              <w:rPr>
                <w:rFonts w:ascii="Liberation Serif" w:hAnsi="Liberation Serif" w:cs="Liberation Serif"/>
              </w:rPr>
              <w:t xml:space="preserve"> &amp; </w:t>
            </w:r>
            <w:r>
              <w:rPr>
                <w:rFonts w:ascii="Liberation Serif" w:hAnsi="Liberation Serif" w:cs="Liberation Serif"/>
              </w:rPr>
              <w:t xml:space="preserve">Poor’s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numPr>
                <w:ilvl w:val="0"/>
                <w:numId w:val="4"/>
              </w:num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B3 по классификации </w:t>
            </w:r>
            <w:r>
              <w:rPr>
                <w:rFonts w:ascii="Liberation Serif" w:hAnsi="Liberation Serif" w:cs="Liberation Serif"/>
              </w:rPr>
              <w:t xml:space="preserve">Moody’s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numPr>
                <w:ilvl w:val="0"/>
                <w:numId w:val="4"/>
              </w:num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ВВВ+(RU) по классификации АКРА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numPr>
                <w:ilvl w:val="0"/>
                <w:numId w:val="4"/>
              </w:num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ruВВВ</w:t>
            </w:r>
            <w:r>
              <w:rPr>
                <w:rFonts w:ascii="Liberation Serif" w:hAnsi="Liberation Serif" w:cs="Liberation Serif"/>
              </w:rPr>
              <w:t xml:space="preserve">+ по классификации Эксперт РА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numPr>
                <w:ilvl w:val="0"/>
                <w:numId w:val="4"/>
              </w:num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соответствующих уровней по классификации иных ведущих рейтинговых агентств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или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Преобладающий контроль (более 50% акционерного капитала Гаранта) прямо или косвенно принадлежит акционеру, имеющему рейтинг долгосрочной кредитоспособности не ниже: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numPr>
                <w:ilvl w:val="0"/>
                <w:numId w:val="4"/>
              </w:num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B- по классификации рейтинговых агентств </w:t>
            </w:r>
            <w:r>
              <w:rPr>
                <w:rFonts w:ascii="Liberation Serif" w:hAnsi="Liberation Serif" w:cs="Liberation Serif"/>
              </w:rPr>
              <w:t xml:space="preserve">Fitch</w:t>
            </w:r>
            <w:r>
              <w:rPr>
                <w:rFonts w:ascii="Liberation Serif" w:hAnsi="Liberation Serif" w:cs="Liberation Serif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 xml:space="preserve">Ratings</w:t>
            </w:r>
            <w:r>
              <w:rPr>
                <w:rFonts w:ascii="Liberation Serif" w:hAnsi="Liberation Serif" w:cs="Liberation Serif"/>
              </w:rPr>
              <w:t xml:space="preserve"> или </w:t>
            </w:r>
            <w:r>
              <w:rPr>
                <w:rFonts w:ascii="Liberation Serif" w:hAnsi="Liberation Serif" w:cs="Liberation Serif"/>
              </w:rPr>
              <w:t xml:space="preserve">Standard</w:t>
            </w:r>
            <w:r>
              <w:rPr>
                <w:rFonts w:ascii="Liberation Serif" w:hAnsi="Liberation Serif" w:cs="Liberation Serif"/>
              </w:rPr>
              <w:t xml:space="preserve"> &amp; </w:t>
            </w:r>
            <w:r>
              <w:rPr>
                <w:rFonts w:ascii="Liberation Serif" w:hAnsi="Liberation Serif" w:cs="Liberation Serif"/>
              </w:rPr>
              <w:t xml:space="preserve">Poor’s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numPr>
                <w:ilvl w:val="0"/>
                <w:numId w:val="4"/>
              </w:num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B3 по классификации </w:t>
            </w:r>
            <w:r>
              <w:rPr>
                <w:rFonts w:ascii="Liberation Serif" w:hAnsi="Liberation Serif" w:cs="Liberation Serif"/>
              </w:rPr>
              <w:t xml:space="preserve">Moody’s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numPr>
                <w:ilvl w:val="0"/>
                <w:numId w:val="4"/>
              </w:num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ВВВ+(RU) по классификации АКРА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numPr>
                <w:ilvl w:val="0"/>
                <w:numId w:val="4"/>
              </w:num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ruВВВ</w:t>
            </w:r>
            <w:r>
              <w:rPr>
                <w:rFonts w:ascii="Liberation Serif" w:hAnsi="Liberation Serif" w:cs="Liberation Serif"/>
              </w:rPr>
              <w:t xml:space="preserve">+ по классификации Эксперт РА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numPr>
                <w:ilvl w:val="0"/>
                <w:numId w:val="4"/>
              </w:num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соответствующих уровней по классификации иных ведущих рейтинговых агентств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или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В составе акционеров присутствуют международные финансовые институты, такие как Европейский банк реконструкции и развития (ЕБРР), Всемирный банк (ВБ) и Международная финансовая корпорация (IFC) и др.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</w:tbl>
    <w:p>
      <w:pPr>
        <w:pStyle w:val="888"/>
        <w:spacing w:after="0" w:line="240" w:lineRule="auto"/>
        <w:rPr>
          <w:szCs w:val="28"/>
        </w:rPr>
      </w:pPr>
      <w:r>
        <w:rPr>
          <w:szCs w:val="28"/>
        </w:rPr>
      </w:r>
      <w:r>
        <w:rPr>
          <w:szCs w:val="28"/>
        </w:rPr>
      </w:r>
    </w:p>
    <w:p>
      <w:pPr>
        <w:pStyle w:val="888"/>
        <w:spacing w:after="0" w:line="240" w:lineRule="auto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88"/>
        <w:spacing w:after="0" w:line="240" w:lineRule="auto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88"/>
        <w:spacing w:after="0" w:line="240" w:lineRule="auto"/>
        <w:rPr>
          <w:szCs w:val="28"/>
        </w:rPr>
      </w:pPr>
      <w:r>
        <w:rPr>
          <w:szCs w:val="28"/>
        </w:rPr>
        <w:t xml:space="preserve">Уполномоченное лицо гаранта</w:t>
      </w:r>
      <w:r>
        <w:rPr>
          <w:szCs w:val="28"/>
        </w:rPr>
      </w:r>
      <w:r>
        <w:rPr>
          <w:szCs w:val="28"/>
        </w:rPr>
      </w:r>
    </w:p>
    <w:p>
      <w:pPr>
        <w:pStyle w:val="888"/>
        <w:spacing w:after="0" w:line="240" w:lineRule="auto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tbl>
      <w:tblPr>
        <w:tblW w:w="5000" w:type="pct"/>
        <w:tblLayout w:type="fixed"/>
        <w:tblCellMar>
          <w:left w:w="0" w:type="dxa"/>
          <w:right w:w="0" w:type="dxa"/>
          <w:bottom w:w="28" w:type="dxa"/>
        </w:tblCellMar>
        <w:tblLook w:val="04A0" w:firstRow="1" w:lastRow="0" w:firstColumn="1" w:lastColumn="0" w:noHBand="0" w:noVBand="1"/>
      </w:tblPr>
      <w:tblGrid>
        <w:gridCol w:w="3549"/>
        <w:gridCol w:w="193"/>
        <w:gridCol w:w="1871"/>
        <w:gridCol w:w="193"/>
        <w:gridCol w:w="3549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2" w:space="0"/>
              <w:right w:val="none" w:color="000000" w:sz="4" w:space="0"/>
            </w:tcBorders>
            <w:tcW w:w="3877" w:type="dxa"/>
            <w:vAlign w:val="bottom"/>
            <w:textDirection w:val="lrTb"/>
            <w:noWrap w:val="false"/>
          </w:tcPr>
          <w:p>
            <w:pPr>
              <w:pStyle w:val="896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</w:r>
            <w:r>
              <w:rPr>
                <w:sz w:val="28"/>
                <w:szCs w:val="28"/>
                <w:lang w:eastAsia="ru-RU" w:bidi="ar-SA"/>
              </w:rPr>
            </w:r>
            <w:r>
              <w:rPr>
                <w:sz w:val="28"/>
                <w:szCs w:val="28"/>
                <w:lang w:eastAsia="ru-RU" w:bidi="ar-SA"/>
              </w:rPr>
            </w:r>
          </w:p>
        </w:tc>
        <w:tc>
          <w:tcPr>
            <w:tcMar>
              <w:left w:w="28" w:type="dxa"/>
              <w:top w:w="28" w:type="dxa"/>
              <w:right w:w="28" w:type="dxa"/>
              <w:bottom w:w="28" w:type="dxa"/>
            </w:tcMar>
            <w:tcW w:w="204" w:type="dxa"/>
            <w:vAlign w:val="bottom"/>
            <w:textDirection w:val="lrTb"/>
            <w:noWrap w:val="false"/>
          </w:tcPr>
          <w:p>
            <w:pPr>
              <w:pStyle w:val="896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</w:r>
            <w:r>
              <w:rPr>
                <w:sz w:val="28"/>
                <w:szCs w:val="28"/>
                <w:lang w:eastAsia="ru-RU" w:bidi="ar-SA"/>
              </w:rPr>
            </w:r>
            <w:r>
              <w:rPr>
                <w:sz w:val="28"/>
                <w:szCs w:val="28"/>
                <w:lang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2" w:space="0"/>
              <w:right w:val="none" w:color="000000" w:sz="4" w:space="0"/>
            </w:tcBorders>
            <w:tcW w:w="2041" w:type="dxa"/>
            <w:vAlign w:val="bottom"/>
            <w:textDirection w:val="lrTb"/>
            <w:noWrap w:val="false"/>
          </w:tcPr>
          <w:p>
            <w:pPr>
              <w:pStyle w:val="896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</w:r>
            <w:r>
              <w:rPr>
                <w:sz w:val="28"/>
                <w:szCs w:val="28"/>
                <w:lang w:eastAsia="ru-RU" w:bidi="ar-SA"/>
              </w:rPr>
            </w:r>
            <w:r>
              <w:rPr>
                <w:sz w:val="28"/>
                <w:szCs w:val="28"/>
                <w:lang w:eastAsia="ru-RU" w:bidi="ar-SA"/>
              </w:rPr>
            </w:r>
          </w:p>
        </w:tc>
        <w:tc>
          <w:tcPr>
            <w:tcMar>
              <w:left w:w="28" w:type="dxa"/>
              <w:top w:w="28" w:type="dxa"/>
              <w:right w:w="28" w:type="dxa"/>
              <w:bottom w:w="28" w:type="dxa"/>
            </w:tcMar>
            <w:tcW w:w="204" w:type="dxa"/>
            <w:vAlign w:val="bottom"/>
            <w:textDirection w:val="lrTb"/>
            <w:noWrap w:val="false"/>
          </w:tcPr>
          <w:p>
            <w:pPr>
              <w:pStyle w:val="896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</w:r>
            <w:r>
              <w:rPr>
                <w:sz w:val="28"/>
                <w:szCs w:val="28"/>
                <w:lang w:eastAsia="ru-RU" w:bidi="ar-SA"/>
              </w:rPr>
            </w:r>
            <w:r>
              <w:rPr>
                <w:sz w:val="28"/>
                <w:szCs w:val="28"/>
                <w:lang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2" w:space="0"/>
              <w:right w:val="none" w:color="000000" w:sz="4" w:space="0"/>
            </w:tcBorders>
            <w:tcW w:w="3878" w:type="dxa"/>
            <w:vAlign w:val="bottom"/>
            <w:textDirection w:val="lrTb"/>
            <w:noWrap w:val="false"/>
          </w:tcPr>
          <w:p>
            <w:pPr>
              <w:pStyle w:val="896"/>
              <w:jc w:val="left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</w:r>
            <w:r>
              <w:rPr>
                <w:sz w:val="28"/>
                <w:szCs w:val="28"/>
                <w:lang w:eastAsia="ru-RU" w:bidi="ar-SA"/>
              </w:rPr>
            </w:r>
            <w:r>
              <w:rPr>
                <w:sz w:val="28"/>
                <w:szCs w:val="28"/>
                <w:lang w:eastAsia="ru-RU" w:bidi="ar-SA"/>
              </w:rPr>
            </w:r>
          </w:p>
        </w:tc>
      </w:tr>
      <w:tr>
        <w:tblPrEx/>
        <w:trPr/>
        <w:tc>
          <w:tcPr>
            <w:tcMar>
              <w:left w:w="28" w:type="dxa"/>
              <w:top w:w="28" w:type="dxa"/>
              <w:right w:w="28" w:type="dxa"/>
              <w:bottom w:w="28" w:type="dxa"/>
            </w:tcMar>
            <w:tcW w:w="3877" w:type="dxa"/>
            <w:textDirection w:val="lrTb"/>
            <w:noWrap w:val="false"/>
          </w:tcPr>
          <w:p>
            <w:pPr>
              <w:pStyle w:val="897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 xml:space="preserve">(должность)</w:t>
            </w:r>
            <w:r>
              <w:rPr>
                <w:sz w:val="28"/>
                <w:szCs w:val="28"/>
                <w:lang w:eastAsia="ru-RU" w:bidi="ar-SA"/>
              </w:rPr>
            </w:r>
            <w:r>
              <w:rPr>
                <w:sz w:val="28"/>
                <w:szCs w:val="28"/>
                <w:lang w:eastAsia="ru-RU" w:bidi="ar-SA"/>
              </w:rPr>
            </w:r>
          </w:p>
        </w:tc>
        <w:tc>
          <w:tcPr>
            <w:tcMar>
              <w:left w:w="28" w:type="dxa"/>
              <w:top w:w="28" w:type="dxa"/>
              <w:right w:w="28" w:type="dxa"/>
              <w:bottom w:w="28" w:type="dxa"/>
            </w:tcMar>
            <w:tcW w:w="204" w:type="dxa"/>
            <w:textDirection w:val="lrTb"/>
            <w:noWrap w:val="false"/>
          </w:tcPr>
          <w:p>
            <w:pPr>
              <w:pStyle w:val="897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</w:r>
            <w:r>
              <w:rPr>
                <w:sz w:val="28"/>
                <w:szCs w:val="28"/>
                <w:lang w:eastAsia="ru-RU" w:bidi="ar-SA"/>
              </w:rPr>
            </w:r>
            <w:r>
              <w:rPr>
                <w:sz w:val="28"/>
                <w:szCs w:val="28"/>
                <w:lang w:eastAsia="ru-RU" w:bidi="ar-SA"/>
              </w:rPr>
            </w:r>
          </w:p>
        </w:tc>
        <w:tc>
          <w:tcPr>
            <w:tcMar>
              <w:left w:w="28" w:type="dxa"/>
              <w:top w:w="28" w:type="dxa"/>
              <w:right w:w="28" w:type="dxa"/>
              <w:bottom w:w="28" w:type="dxa"/>
            </w:tcMar>
            <w:tcW w:w="2041" w:type="dxa"/>
            <w:textDirection w:val="lrTb"/>
            <w:noWrap w:val="false"/>
          </w:tcPr>
          <w:p>
            <w:pPr>
              <w:pStyle w:val="897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 xml:space="preserve">(подпись)</w:t>
            </w:r>
            <w:r>
              <w:rPr>
                <w:sz w:val="28"/>
                <w:szCs w:val="28"/>
                <w:lang w:eastAsia="ru-RU" w:bidi="ar-SA"/>
              </w:rPr>
            </w:r>
            <w:r>
              <w:rPr>
                <w:sz w:val="28"/>
                <w:szCs w:val="28"/>
                <w:lang w:eastAsia="ru-RU" w:bidi="ar-SA"/>
              </w:rPr>
            </w:r>
          </w:p>
        </w:tc>
        <w:tc>
          <w:tcPr>
            <w:tcMar>
              <w:left w:w="28" w:type="dxa"/>
              <w:top w:w="28" w:type="dxa"/>
              <w:right w:w="28" w:type="dxa"/>
              <w:bottom w:w="28" w:type="dxa"/>
            </w:tcMar>
            <w:tcW w:w="204" w:type="dxa"/>
            <w:textDirection w:val="lrTb"/>
            <w:noWrap w:val="false"/>
          </w:tcPr>
          <w:p>
            <w:pPr>
              <w:pStyle w:val="897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</w:r>
            <w:r>
              <w:rPr>
                <w:sz w:val="28"/>
                <w:szCs w:val="28"/>
                <w:lang w:eastAsia="ru-RU" w:bidi="ar-SA"/>
              </w:rPr>
            </w:r>
            <w:r>
              <w:rPr>
                <w:sz w:val="28"/>
                <w:szCs w:val="28"/>
                <w:lang w:eastAsia="ru-RU" w:bidi="ar-SA"/>
              </w:rPr>
            </w:r>
          </w:p>
        </w:tc>
        <w:tc>
          <w:tcPr>
            <w:tcMar>
              <w:left w:w="28" w:type="dxa"/>
              <w:top w:w="28" w:type="dxa"/>
              <w:right w:w="28" w:type="dxa"/>
              <w:bottom w:w="28" w:type="dxa"/>
            </w:tcMar>
            <w:tcW w:w="3878" w:type="dxa"/>
            <w:textDirection w:val="lrTb"/>
            <w:noWrap w:val="false"/>
          </w:tcPr>
          <w:p>
            <w:pPr>
              <w:pStyle w:val="897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 xml:space="preserve">(ФИО)</w:t>
            </w:r>
            <w:r>
              <w:rPr>
                <w:sz w:val="28"/>
                <w:szCs w:val="28"/>
                <w:lang w:eastAsia="ru-RU" w:bidi="ar-SA"/>
              </w:rPr>
            </w:r>
            <w:r>
              <w:rPr>
                <w:sz w:val="28"/>
                <w:szCs w:val="28"/>
                <w:lang w:eastAsia="ru-RU" w:bidi="ar-SA"/>
              </w:rPr>
            </w:r>
          </w:p>
        </w:tc>
      </w:tr>
    </w:tbl>
    <w:p>
      <w:pPr>
        <w:pStyle w:val="888"/>
        <w:spacing w:after="0" w:line="240" w:lineRule="auto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tbl>
      <w:tblPr>
        <w:tblW w:w="4500" w:type="pct"/>
        <w:tblLayout w:type="fixed"/>
        <w:tblCellMar>
          <w:left w:w="28" w:type="dxa"/>
          <w:top w:w="28" w:type="dxa"/>
          <w:right w:w="28" w:type="dxa"/>
          <w:bottom w:w="28" w:type="dxa"/>
        </w:tblCellMar>
        <w:tblLook w:val="04A0" w:firstRow="1" w:lastRow="0" w:firstColumn="1" w:lastColumn="0" w:noHBand="0" w:noVBand="1"/>
      </w:tblPr>
      <w:tblGrid>
        <w:gridCol w:w="7907"/>
        <w:gridCol w:w="510"/>
      </w:tblGrid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633" w:type="dxa"/>
            <w:vAlign w:val="center"/>
            <w:textDirection w:val="lrTb"/>
            <w:noWrap w:val="false"/>
          </w:tcPr>
          <w:p>
            <w:pPr>
              <w:pStyle w:val="895"/>
              <w:jc w:val="right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 xml:space="preserve">Лист №</w:t>
            </w:r>
            <w:r>
              <w:rPr>
                <w:sz w:val="28"/>
                <w:szCs w:val="28"/>
                <w:lang w:eastAsia="ru-RU" w:bidi="ar-SA"/>
              </w:rPr>
            </w:r>
            <w:r>
              <w:rPr>
                <w:sz w:val="28"/>
                <w:szCs w:val="28"/>
                <w:lang w:eastAsia="ru-RU" w:bidi="ar-SA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50" w:type="dxa"/>
            <w:vAlign w:val="center"/>
            <w:textDirection w:val="lrTb"/>
            <w:noWrap w:val="false"/>
          </w:tcPr>
          <w:p>
            <w:pPr>
              <w:pStyle w:val="895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 xml:space="preserve">1</w:t>
            </w:r>
            <w:r>
              <w:rPr>
                <w:sz w:val="28"/>
                <w:szCs w:val="28"/>
                <w:lang w:eastAsia="ru-RU" w:bidi="ar-SA"/>
              </w:rPr>
            </w:r>
            <w:r>
              <w:rPr>
                <w:sz w:val="28"/>
                <w:szCs w:val="28"/>
                <w:lang w:eastAsia="ru-RU" w:bidi="ar-SA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633" w:type="dxa"/>
            <w:vAlign w:val="center"/>
            <w:textDirection w:val="lrTb"/>
            <w:noWrap w:val="false"/>
          </w:tcPr>
          <w:p>
            <w:pPr>
              <w:pStyle w:val="895"/>
              <w:jc w:val="right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 xml:space="preserve">Всего листов</w:t>
            </w:r>
            <w:r>
              <w:rPr>
                <w:sz w:val="28"/>
                <w:szCs w:val="28"/>
                <w:lang w:eastAsia="ru-RU" w:bidi="ar-SA"/>
              </w:rPr>
            </w:r>
            <w:r>
              <w:rPr>
                <w:sz w:val="28"/>
                <w:szCs w:val="28"/>
                <w:lang w:eastAsia="ru-RU" w:bidi="ar-SA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50" w:type="dxa"/>
            <w:vAlign w:val="center"/>
            <w:textDirection w:val="lrTb"/>
            <w:noWrap w:val="false"/>
          </w:tcPr>
          <w:p>
            <w:pPr>
              <w:pStyle w:val="895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 xml:space="preserve">1</w:t>
            </w:r>
            <w:r>
              <w:rPr>
                <w:sz w:val="28"/>
                <w:szCs w:val="28"/>
                <w:lang w:eastAsia="ru-RU" w:bidi="ar-SA"/>
              </w:rPr>
            </w:r>
            <w:r>
              <w:rPr>
                <w:sz w:val="28"/>
                <w:szCs w:val="28"/>
                <w:lang w:eastAsia="ru-RU" w:bidi="ar-SA"/>
              </w:rPr>
            </w:r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902"/>
        <w:numPr>
          <w:ilvl w:val="2"/>
          <w:numId w:val="0"/>
        </w:numPr>
        <w:jc w:val="center"/>
        <w:spacing w:line="240" w:lineRule="auto"/>
        <w:tabs>
          <w:tab w:val="num" w:pos="0" w:leader="none"/>
          <w:tab w:val="num" w:pos="1134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902"/>
        <w:numPr>
          <w:ilvl w:val="2"/>
          <w:numId w:val="0"/>
        </w:numPr>
        <w:jc w:val="center"/>
        <w:spacing w:line="240" w:lineRule="auto"/>
        <w:tabs>
          <w:tab w:val="num" w:pos="0" w:leader="none"/>
          <w:tab w:val="num" w:pos="1134" w:leader="none"/>
        </w:tabs>
        <w:rPr>
          <w:szCs w:val="28"/>
        </w:rPr>
      </w:pPr>
      <w:r>
        <w:rPr>
          <w:szCs w:val="28"/>
        </w:rPr>
        <w:t xml:space="preserve">Перечень банков-гарантов, удовлетворяющих требовани</w:t>
      </w:r>
      <w:r>
        <w:rPr>
          <w:szCs w:val="28"/>
        </w:rPr>
        <w:t xml:space="preserve">ям</w:t>
      </w:r>
      <w:r>
        <w:rPr>
          <w:szCs w:val="28"/>
        </w:rPr>
        <w:t xml:space="preserve"> ООО "</w:t>
      </w:r>
      <w:r>
        <w:rPr>
          <w:szCs w:val="28"/>
        </w:rPr>
        <w:t xml:space="preserve">БашРТС</w:t>
      </w:r>
      <w:r>
        <w:rPr>
          <w:szCs w:val="28"/>
        </w:rPr>
        <w:t xml:space="preserve">" к надежности и </w:t>
      </w:r>
      <w:r>
        <w:rPr>
          <w:szCs w:val="28"/>
        </w:rPr>
        <w:t xml:space="preserve">кредитоспособности</w:t>
      </w:r>
      <w:r>
        <w:rPr>
          <w:szCs w:val="28"/>
        </w:rPr>
        <w:t xml:space="preserve">  (</w:t>
      </w:r>
      <w:r>
        <w:rPr>
          <w:szCs w:val="28"/>
        </w:rPr>
        <w:t xml:space="preserve">с предельным сроком действия гарантии  до 2-х лет  включительно  и  суммой гарантии  не более  1 200 000 (один миллион двести тысяч) рублей с НДС)  </w:t>
      </w:r>
      <w:r>
        <w:rPr>
          <w:szCs w:val="28"/>
        </w:rPr>
        <w:t xml:space="preserve">:</w:t>
      </w:r>
      <w:r>
        <w:rPr>
          <w:szCs w:val="28"/>
        </w:rPr>
      </w:r>
      <w:r>
        <w:rPr>
          <w:szCs w:val="28"/>
        </w:rPr>
      </w:r>
    </w:p>
    <w:p>
      <w:pPr>
        <w:pStyle w:val="902"/>
        <w:numPr>
          <w:ilvl w:val="2"/>
          <w:numId w:val="0"/>
        </w:numPr>
        <w:spacing w:line="240" w:lineRule="auto"/>
        <w:tabs>
          <w:tab w:val="num" w:pos="0" w:leader="none"/>
          <w:tab w:val="num" w:pos="1134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902"/>
        <w:numPr>
          <w:ilvl w:val="2"/>
          <w:numId w:val="0"/>
        </w:numPr>
        <w:spacing w:line="240" w:lineRule="auto"/>
        <w:tabs>
          <w:tab w:val="num" w:pos="0" w:leader="none"/>
          <w:tab w:val="num" w:pos="1134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902"/>
        <w:numPr>
          <w:ilvl w:val="2"/>
          <w:numId w:val="0"/>
        </w:numPr>
        <w:spacing w:line="240" w:lineRule="auto"/>
        <w:tabs>
          <w:tab w:val="num" w:pos="0" w:leader="none"/>
          <w:tab w:val="num" w:pos="1134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902"/>
        <w:numPr>
          <w:ilvl w:val="2"/>
          <w:numId w:val="0"/>
        </w:numPr>
        <w:spacing w:line="240" w:lineRule="auto"/>
        <w:tabs>
          <w:tab w:val="num" w:pos="0" w:leader="none"/>
          <w:tab w:val="num" w:pos="1134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ind w:firstLine="709"/>
        <w:jc w:val="both"/>
        <w:keepNext/>
        <w:widowControl w:val="off"/>
        <w:tabs>
          <w:tab w:val="left" w:pos="567" w:leader="none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Гарантии (резервные аккредитивы), сумма которых не превышает 1 200 000 (один миллион двести тысяч) рублей с НДС включительно и сроком действи</w:t>
      </w:r>
      <w:r>
        <w:rPr>
          <w:bCs/>
          <w:color w:val="000000"/>
          <w:sz w:val="28"/>
          <w:szCs w:val="28"/>
        </w:rPr>
        <w:t xml:space="preserve">я до 2-х лет включительно, могут быть приняты от банков, предусмотренных частью 1 статьи 45 Федерального закона от 5 апреля 2013 года N 44-ФЗ «О контрактной системе в сфере закупок товаров, работ, услуг для обеспечения государственных и муниципальных нужд»</w:t>
      </w:r>
      <w:bookmarkStart w:id="1" w:name="_ftnref1"/>
      <w:r/>
      <w:bookmarkEnd w:id="1"/>
      <w:r>
        <w:rPr>
          <w:bCs/>
          <w:color w:val="000000"/>
          <w:sz w:val="28"/>
          <w:szCs w:val="28"/>
          <w:vertAlign w:val="superscript"/>
        </w:rPr>
        <w:footnoteReference w:id="3"/>
      </w:r>
      <w:r>
        <w:rPr>
          <w:bCs/>
          <w:color w:val="000000"/>
          <w:sz w:val="28"/>
          <w:szCs w:val="28"/>
        </w:rPr>
        <w:t xml:space="preserve">.</w:t>
      </w:r>
      <w:r>
        <w:rPr>
          <w:bCs/>
          <w:color w:val="000000"/>
          <w:sz w:val="28"/>
          <w:szCs w:val="28"/>
        </w:rPr>
      </w:r>
      <w:r>
        <w:rPr>
          <w:bCs/>
          <w:color w:val="000000"/>
          <w:sz w:val="28"/>
          <w:szCs w:val="28"/>
        </w:rPr>
      </w:r>
    </w:p>
    <w:p>
      <w:pPr>
        <w:ind w:firstLine="709"/>
        <w:jc w:val="both"/>
        <w:keepNext/>
        <w:widowControl w:val="off"/>
        <w:tabs>
          <w:tab w:val="left" w:pos="567" w:leader="none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В случае выхода банка из перечня согласно части 1 статьи 45 Федерального закона от 5 апреля 2013 года N 44-ФЗ </w:t>
      </w:r>
      <w:r>
        <w:rPr>
          <w:bCs/>
          <w:color w:val="000000"/>
          <w:sz w:val="28"/>
          <w:szCs w:val="28"/>
        </w:rPr>
        <w:t xml:space="preserve"> ООО</w:t>
      </w:r>
      <w:r>
        <w:rPr>
          <w:bCs/>
          <w:color w:val="000000"/>
          <w:sz w:val="28"/>
          <w:szCs w:val="28"/>
        </w:rPr>
        <w:t xml:space="preserve"> «</w:t>
      </w:r>
      <w:r>
        <w:rPr>
          <w:bCs/>
          <w:color w:val="000000"/>
          <w:sz w:val="28"/>
          <w:szCs w:val="28"/>
        </w:rPr>
        <w:t xml:space="preserve">БашРТС</w:t>
      </w:r>
      <w:r>
        <w:rPr>
          <w:bCs/>
          <w:color w:val="000000"/>
          <w:sz w:val="28"/>
          <w:szCs w:val="28"/>
        </w:rPr>
        <w:t xml:space="preserve">» не должн</w:t>
      </w:r>
      <w:r>
        <w:rPr>
          <w:bCs/>
          <w:color w:val="000000"/>
          <w:sz w:val="28"/>
          <w:szCs w:val="28"/>
        </w:rPr>
        <w:t xml:space="preserve">о</w:t>
      </w:r>
      <w:r>
        <w:rPr>
          <w:bCs/>
          <w:color w:val="000000"/>
          <w:sz w:val="28"/>
          <w:szCs w:val="28"/>
        </w:rPr>
        <w:t xml:space="preserve"> проводить операции, направленные на уве</w:t>
      </w:r>
      <w:r>
        <w:rPr>
          <w:bCs/>
          <w:color w:val="000000"/>
          <w:sz w:val="28"/>
          <w:szCs w:val="28"/>
        </w:rPr>
        <w:t xml:space="preserve">личение совокупного размера уже принятых гарантий данного эмитента, а также рекомендуется требовать замены обеспечения (в соответствии с актуальными положениями законодательства Российской Федерации в случае возникновения такой обоснованной необходимости).</w:t>
      </w:r>
      <w:r>
        <w:rPr>
          <w:bCs/>
          <w:color w:val="000000"/>
          <w:sz w:val="28"/>
          <w:szCs w:val="28"/>
        </w:rPr>
      </w:r>
      <w:r>
        <w:rPr>
          <w:bCs/>
          <w:color w:val="000000"/>
          <w:sz w:val="28"/>
          <w:szCs w:val="28"/>
        </w:rPr>
      </w:r>
    </w:p>
    <w:p>
      <w:pPr>
        <w:pStyle w:val="902"/>
        <w:numPr>
          <w:ilvl w:val="2"/>
          <w:numId w:val="0"/>
        </w:numPr>
        <w:spacing w:line="240" w:lineRule="auto"/>
        <w:tabs>
          <w:tab w:val="num" w:pos="0" w:leader="none"/>
          <w:tab w:val="num" w:pos="1134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902"/>
        <w:numPr>
          <w:ilvl w:val="2"/>
          <w:numId w:val="0"/>
        </w:numPr>
        <w:spacing w:line="240" w:lineRule="auto"/>
        <w:tabs>
          <w:tab w:val="num" w:pos="0" w:leader="none"/>
          <w:tab w:val="num" w:pos="1134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902"/>
        <w:numPr>
          <w:ilvl w:val="2"/>
          <w:numId w:val="0"/>
        </w:numPr>
        <w:spacing w:line="240" w:lineRule="auto"/>
        <w:tabs>
          <w:tab w:val="num" w:pos="0" w:leader="none"/>
          <w:tab w:val="num" w:pos="1134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902"/>
        <w:numPr>
          <w:ilvl w:val="2"/>
          <w:numId w:val="0"/>
        </w:numPr>
        <w:spacing w:line="240" w:lineRule="auto"/>
        <w:tabs>
          <w:tab w:val="num" w:pos="0" w:leader="none"/>
          <w:tab w:val="num" w:pos="1134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ind w:firstLine="709"/>
        <w:jc w:val="both"/>
        <w:spacing w:line="259" w:lineRule="auto"/>
        <w:rPr>
          <w:rFonts w:eastAsiaTheme="minorHAnsi"/>
          <w:color w:val="000000"/>
          <w:sz w:val="28"/>
          <w:lang w:eastAsia="en-US"/>
        </w:rPr>
      </w:pPr>
      <w:r>
        <w:rPr>
          <w:rFonts w:eastAsiaTheme="minorHAnsi"/>
          <w:color w:val="000000"/>
          <w:sz w:val="28"/>
          <w:lang w:eastAsia="en-US"/>
        </w:rPr>
        <w:t xml:space="preserve">Гарантии, бенефициаром по которым является ООО «</w:t>
      </w:r>
      <w:r>
        <w:rPr>
          <w:rFonts w:eastAsiaTheme="minorHAnsi"/>
          <w:color w:val="000000"/>
          <w:sz w:val="28"/>
          <w:lang w:eastAsia="en-US"/>
        </w:rPr>
        <w:t xml:space="preserve">БашРТС</w:t>
      </w:r>
      <w:r>
        <w:rPr>
          <w:rFonts w:eastAsiaTheme="minorHAnsi"/>
          <w:color w:val="000000"/>
          <w:sz w:val="28"/>
          <w:lang w:eastAsia="en-US"/>
        </w:rPr>
        <w:t xml:space="preserve">»</w:t>
      </w:r>
      <w:r>
        <w:rPr>
          <w:rFonts w:eastAsiaTheme="minorHAnsi"/>
          <w:color w:val="000000"/>
          <w:sz w:val="28"/>
          <w:lang w:eastAsia="en-US"/>
        </w:rPr>
        <w:t xml:space="preserve">, могут быть приняты от банков и/или иных организаций, не являющихся резидентами Российской Федерации, которые удовлетворяют следующим требованиям:</w:t>
      </w:r>
      <w:r>
        <w:rPr>
          <w:rFonts w:eastAsiaTheme="minorHAnsi"/>
          <w:color w:val="000000"/>
          <w:sz w:val="28"/>
          <w:lang w:eastAsia="en-US"/>
        </w:rPr>
      </w:r>
      <w:r>
        <w:rPr>
          <w:rFonts w:eastAsiaTheme="minorHAnsi"/>
          <w:color w:val="000000"/>
          <w:sz w:val="28"/>
          <w:lang w:eastAsia="en-US"/>
        </w:rPr>
      </w:r>
    </w:p>
    <w:p>
      <w:pPr>
        <w:ind w:firstLine="709"/>
        <w:jc w:val="both"/>
        <w:spacing w:line="259" w:lineRule="auto"/>
        <w:rPr>
          <w:rFonts w:eastAsiaTheme="minorHAnsi"/>
          <w:color w:val="000000"/>
          <w:sz w:val="28"/>
          <w:lang w:eastAsia="en-US"/>
        </w:rPr>
      </w:pPr>
      <w:r>
        <w:rPr>
          <w:rFonts w:eastAsiaTheme="minorHAnsi"/>
          <w:color w:val="000000"/>
          <w:sz w:val="28"/>
          <w:lang w:eastAsia="en-US"/>
        </w:rPr>
      </w:r>
      <w:r>
        <w:rPr>
          <w:rFonts w:eastAsiaTheme="minorHAnsi"/>
          <w:color w:val="000000"/>
          <w:sz w:val="28"/>
          <w:lang w:eastAsia="en-US"/>
        </w:rPr>
      </w:r>
      <w:r>
        <w:rPr>
          <w:rFonts w:eastAsiaTheme="minorHAnsi"/>
          <w:color w:val="000000"/>
          <w:sz w:val="28"/>
          <w:lang w:eastAsia="en-US"/>
        </w:rPr>
      </w:r>
    </w:p>
    <w:p>
      <w:pPr>
        <w:ind w:firstLine="709"/>
        <w:jc w:val="both"/>
        <w:spacing w:line="259" w:lineRule="auto"/>
        <w:rPr>
          <w:rFonts w:eastAsiaTheme="minorHAnsi"/>
          <w:color w:val="000000"/>
          <w:sz w:val="28"/>
          <w:lang w:eastAsia="en-US"/>
        </w:rPr>
      </w:pPr>
      <w:r>
        <w:rPr>
          <w:rFonts w:eastAsiaTheme="minorHAnsi"/>
          <w:color w:val="000000"/>
          <w:sz w:val="28"/>
          <w:lang w:eastAsia="en-US"/>
        </w:rPr>
      </w:r>
      <w:r>
        <w:rPr>
          <w:rFonts w:eastAsiaTheme="minorHAnsi"/>
          <w:color w:val="000000"/>
          <w:sz w:val="28"/>
          <w:lang w:eastAsia="en-US"/>
        </w:rPr>
      </w:r>
      <w:r>
        <w:rPr>
          <w:rFonts w:eastAsiaTheme="minorHAnsi"/>
          <w:color w:val="000000"/>
          <w:sz w:val="28"/>
          <w:lang w:eastAsia="en-US"/>
        </w:rPr>
      </w:r>
    </w:p>
    <w:p>
      <w:pPr>
        <w:ind w:firstLine="709"/>
        <w:jc w:val="both"/>
        <w:spacing w:line="259" w:lineRule="auto"/>
        <w:rPr>
          <w:rFonts w:eastAsiaTheme="minorHAnsi"/>
          <w:color w:val="000000"/>
          <w:sz w:val="28"/>
          <w:lang w:eastAsia="en-US"/>
        </w:rPr>
      </w:pPr>
      <w:r>
        <w:rPr>
          <w:rFonts w:eastAsiaTheme="minorHAnsi"/>
          <w:color w:val="000000"/>
          <w:sz w:val="28"/>
          <w:lang w:eastAsia="en-US"/>
        </w:rPr>
      </w:r>
      <w:r>
        <w:rPr>
          <w:rFonts w:eastAsiaTheme="minorHAnsi"/>
          <w:color w:val="000000"/>
          <w:sz w:val="28"/>
          <w:lang w:eastAsia="en-US"/>
        </w:rPr>
      </w:r>
      <w:r>
        <w:rPr>
          <w:rFonts w:eastAsiaTheme="minorHAnsi"/>
          <w:color w:val="000000"/>
          <w:sz w:val="28"/>
          <w:lang w:eastAsia="en-US"/>
        </w:rPr>
      </w:r>
    </w:p>
    <w:p>
      <w:pPr>
        <w:ind w:firstLine="709"/>
        <w:spacing w:line="259" w:lineRule="auto"/>
        <w:rPr>
          <w:rFonts w:eastAsiaTheme="minorHAnsi"/>
          <w:color w:val="000000"/>
          <w:sz w:val="16"/>
          <w:szCs w:val="16"/>
          <w:lang w:eastAsia="en-US"/>
        </w:rPr>
      </w:pPr>
      <w:r>
        <w:rPr>
          <w:rFonts w:eastAsiaTheme="minorHAnsi"/>
          <w:color w:val="000000"/>
          <w:sz w:val="16"/>
          <w:szCs w:val="16"/>
          <w:lang w:eastAsia="en-US"/>
        </w:rPr>
      </w:r>
      <w:r>
        <w:rPr>
          <w:rFonts w:eastAsiaTheme="minorHAnsi"/>
          <w:color w:val="000000"/>
          <w:sz w:val="16"/>
          <w:szCs w:val="16"/>
          <w:lang w:eastAsia="en-US"/>
        </w:rPr>
      </w:r>
      <w:r>
        <w:rPr>
          <w:rFonts w:eastAsiaTheme="minorHAnsi"/>
          <w:color w:val="000000"/>
          <w:sz w:val="16"/>
          <w:szCs w:val="16"/>
          <w:lang w:eastAsia="en-US"/>
        </w:rPr>
      </w:r>
    </w:p>
    <w:tbl>
      <w:tblPr>
        <w:tblStyle w:val="903"/>
        <w:tblW w:w="11057" w:type="dxa"/>
        <w:tblInd w:w="-1168" w:type="dxa"/>
        <w:tblLook w:val="04A0" w:firstRow="1" w:lastRow="0" w:firstColumn="1" w:lastColumn="0" w:noHBand="0" w:noVBand="1"/>
      </w:tblPr>
      <w:tblGrid>
        <w:gridCol w:w="3828"/>
        <w:gridCol w:w="7229"/>
      </w:tblGrid>
      <w:tr>
        <w:tblPrEx/>
        <w:trPr>
          <w:trHeight w:val="5496"/>
        </w:trPr>
        <w:tc>
          <w:tcPr>
            <w:tcW w:w="382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/>
            <w:bookmarkStart w:id="2" w:name="_Hlk151484348"/>
            <w:r>
              <w:rPr>
                <w:b/>
              </w:rPr>
              <w:t xml:space="preserve">1 категория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center"/>
            </w:pPr>
            <w:r/>
            <w:r/>
          </w:p>
          <w:p>
            <w:pPr>
              <w:jc w:val="center"/>
            </w:pPr>
            <w:r>
              <w:t xml:space="preserve">Общая сумма всех (действующих) принятых гарантий от одного Гаранта не должна превышать</w:t>
            </w:r>
            <w:r/>
          </w:p>
          <w:p>
            <w:pPr>
              <w:jc w:val="center"/>
            </w:pPr>
            <w:r/>
            <w:r/>
          </w:p>
          <w:p>
            <w:pPr>
              <w:jc w:val="center"/>
            </w:pPr>
            <w:r>
              <w:rPr>
                <w:b/>
              </w:rPr>
              <w:t xml:space="preserve">Лимит = 6,5% от капитала</w:t>
            </w:r>
            <w:r>
              <w:t xml:space="preserve"> Гаранта</w:t>
            </w:r>
            <w:r/>
          </w:p>
        </w:tc>
        <w:tc>
          <w:tcPr>
            <w:tcW w:w="7229" w:type="dxa"/>
            <w:vAlign w:val="center"/>
            <w:textDirection w:val="lrTb"/>
            <w:noWrap w:val="false"/>
          </w:tcPr>
          <w:p>
            <w:r>
              <w:t xml:space="preserve">Гаранту присвоен рейтинг долгосрочной кредитоспособности не ниже:</w:t>
            </w:r>
            <w:r/>
          </w:p>
          <w:p>
            <w:pPr>
              <w:numPr>
                <w:ilvl w:val="0"/>
                <w:numId w:val="1"/>
              </w:numPr>
              <w:jc w:val="both"/>
            </w:pPr>
            <w:r>
              <w:t xml:space="preserve">BB- по классификации рейтинговых агентств </w:t>
            </w:r>
            <w:r>
              <w:t xml:space="preserve">Fitch</w:t>
            </w:r>
            <w:r>
              <w:t xml:space="preserve"> </w:t>
            </w:r>
            <w:r>
              <w:t xml:space="preserve">Ratings</w:t>
            </w:r>
            <w:r>
              <w:t xml:space="preserve"> или </w:t>
            </w:r>
            <w:r>
              <w:t xml:space="preserve">Standard</w:t>
            </w:r>
            <w:r>
              <w:t xml:space="preserve"> &amp; </w:t>
            </w:r>
            <w:r>
              <w:t xml:space="preserve">Poor’s</w:t>
            </w:r>
            <w:r/>
          </w:p>
          <w:p>
            <w:pPr>
              <w:numPr>
                <w:ilvl w:val="0"/>
                <w:numId w:val="1"/>
              </w:numPr>
              <w:jc w:val="both"/>
            </w:pPr>
            <w:r>
              <w:t xml:space="preserve">Ba3 по классификации </w:t>
            </w:r>
            <w:r>
              <w:t xml:space="preserve">Moody’s</w:t>
            </w:r>
            <w:r/>
          </w:p>
          <w:p>
            <w:pPr>
              <w:numPr>
                <w:ilvl w:val="0"/>
                <w:numId w:val="1"/>
              </w:numPr>
              <w:jc w:val="both"/>
            </w:pPr>
            <w:r>
              <w:t xml:space="preserve">А+(RU) по классификации АКРА</w:t>
            </w:r>
            <w:r/>
          </w:p>
          <w:p>
            <w:pPr>
              <w:numPr>
                <w:ilvl w:val="0"/>
                <w:numId w:val="1"/>
              </w:numPr>
              <w:jc w:val="both"/>
            </w:pPr>
            <w:r>
              <w:t xml:space="preserve">ruА</w:t>
            </w:r>
            <w:r>
              <w:t xml:space="preserve">+ по классификации Эксперт РА</w:t>
            </w:r>
            <w:r/>
          </w:p>
          <w:p>
            <w:pPr>
              <w:numPr>
                <w:ilvl w:val="0"/>
                <w:numId w:val="1"/>
              </w:numPr>
              <w:jc w:val="both"/>
            </w:pPr>
            <w:r>
              <w:t xml:space="preserve">соответствующих уровней по классификации иных ведущих рейтинговых агентств</w:t>
            </w:r>
            <w:r/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или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r>
              <w:t xml:space="preserve">Преобладающий контроль (более 50% акционерного капитала Гаранта) прямо или косвенно принадлежит:</w:t>
            </w:r>
            <w:r/>
          </w:p>
          <w:p>
            <w:pPr>
              <w:numPr>
                <w:ilvl w:val="0"/>
                <w:numId w:val="1"/>
              </w:numPr>
              <w:jc w:val="both"/>
            </w:pPr>
            <w:r>
              <w:t xml:space="preserve">Российской Федерации;</w:t>
            </w:r>
            <w:r/>
          </w:p>
          <w:p>
            <w:pPr>
              <w:numPr>
                <w:ilvl w:val="0"/>
                <w:numId w:val="1"/>
              </w:numPr>
              <w:jc w:val="both"/>
            </w:pPr>
            <w:r>
              <w:t xml:space="preserve">иному иностранному государству*;</w:t>
            </w:r>
            <w:r/>
          </w:p>
          <w:p>
            <w:pPr>
              <w:numPr>
                <w:ilvl w:val="0"/>
                <w:numId w:val="1"/>
              </w:numPr>
              <w:jc w:val="both"/>
            </w:pPr>
            <w:r>
              <w:t xml:space="preserve">устойчивой промышленной и/или финансовой группе* Российской Федерации / иного </w:t>
            </w:r>
            <w:r>
              <w:t xml:space="preserve">резидентства</w:t>
            </w:r>
            <w:r>
              <w:t xml:space="preserve">.</w:t>
            </w:r>
            <w:r/>
          </w:p>
          <w:p>
            <w:pPr>
              <w:rPr>
                <w:i/>
              </w:rPr>
            </w:pPr>
            <w:r>
              <w:rPr>
                <w:i/>
              </w:rPr>
              <w:t xml:space="preserve">*если при этом такому иностранному государству или соответствующей промышленной / финансовой группе присвоен рейтинг долгосрочной кредитоспособности не ниже: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numPr>
                <w:ilvl w:val="0"/>
                <w:numId w:val="1"/>
              </w:numPr>
              <w:jc w:val="both"/>
              <w:rPr>
                <w:i/>
              </w:rPr>
            </w:pPr>
            <w:r>
              <w:rPr>
                <w:i/>
              </w:rPr>
              <w:t xml:space="preserve">BB- по классификации рейтинговых агентств </w:t>
            </w:r>
            <w:r>
              <w:rPr>
                <w:i/>
              </w:rPr>
              <w:t xml:space="preserve">Fitch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 xml:space="preserve">Ratings</w:t>
            </w:r>
            <w:r>
              <w:rPr>
                <w:i/>
              </w:rPr>
              <w:t xml:space="preserve"> или </w:t>
            </w:r>
            <w:r>
              <w:rPr>
                <w:i/>
              </w:rPr>
              <w:t xml:space="preserve">Standard</w:t>
            </w:r>
            <w:r>
              <w:rPr>
                <w:i/>
              </w:rPr>
              <w:t xml:space="preserve"> &amp; </w:t>
            </w:r>
            <w:r>
              <w:rPr>
                <w:i/>
              </w:rPr>
              <w:t xml:space="preserve">Poor’s</w:t>
            </w:r>
            <w:r>
              <w:rPr>
                <w:i/>
              </w:rPr>
              <w:t xml:space="preserve"> 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numPr>
                <w:ilvl w:val="0"/>
                <w:numId w:val="1"/>
              </w:numPr>
              <w:jc w:val="both"/>
              <w:rPr>
                <w:i/>
              </w:rPr>
            </w:pPr>
            <w:r>
              <w:rPr>
                <w:i/>
              </w:rPr>
              <w:t xml:space="preserve">Ba3 по классификации </w:t>
            </w:r>
            <w:r>
              <w:rPr>
                <w:i/>
              </w:rPr>
              <w:t xml:space="preserve">Moody’s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numPr>
                <w:ilvl w:val="0"/>
                <w:numId w:val="1"/>
              </w:numPr>
              <w:jc w:val="both"/>
              <w:rPr>
                <w:i/>
              </w:rPr>
            </w:pPr>
            <w:r>
              <w:rPr>
                <w:i/>
              </w:rPr>
              <w:t xml:space="preserve">А+(RU) по классификации АКРА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numPr>
                <w:ilvl w:val="0"/>
                <w:numId w:val="1"/>
              </w:numPr>
              <w:jc w:val="both"/>
              <w:rPr>
                <w:i/>
                <w:sz w:val="20"/>
                <w:szCs w:val="20"/>
              </w:rPr>
            </w:pPr>
            <w:r>
              <w:rPr>
                <w:i/>
              </w:rPr>
              <w:t xml:space="preserve">ruА</w:t>
            </w:r>
            <w:r>
              <w:rPr>
                <w:i/>
              </w:rPr>
              <w:t xml:space="preserve">+ по классификации Эксперт РА</w:t>
            </w:r>
            <w:r>
              <w:rPr>
                <w:i/>
                <w:sz w:val="20"/>
                <w:szCs w:val="20"/>
              </w:rPr>
            </w:r>
            <w:r>
              <w:rPr>
                <w:i/>
                <w:sz w:val="20"/>
                <w:szCs w:val="20"/>
              </w:rPr>
            </w:r>
          </w:p>
          <w:p>
            <w:pPr>
              <w:numPr>
                <w:ilvl w:val="0"/>
                <w:numId w:val="1"/>
              </w:numPr>
              <w:jc w:val="both"/>
              <w:spacing w:after="120"/>
              <w:rPr>
                <w:i/>
              </w:rPr>
            </w:pPr>
            <w:r>
              <w:rPr>
                <w:i/>
              </w:rPr>
              <w:t xml:space="preserve">соответствующих уровней по классификации иных ведущих рейтинговых агентств</w:t>
            </w:r>
            <w:bookmarkEnd w:id="2"/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5516"/>
        </w:trPr>
        <w:tc>
          <w:tcPr>
            <w:tcW w:w="382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2 категория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center"/>
            </w:pPr>
            <w:r/>
            <w:r/>
          </w:p>
          <w:p>
            <w:pPr>
              <w:jc w:val="center"/>
            </w:pPr>
            <w:r>
              <w:t xml:space="preserve">Общая сумма всех (действующих) принятых гарантий от одного Гаранта не должна превышать</w:t>
            </w:r>
            <w:r/>
          </w:p>
          <w:p>
            <w:pPr>
              <w:jc w:val="center"/>
            </w:pPr>
            <w:r/>
            <w:r/>
          </w:p>
          <w:p>
            <w:pPr>
              <w:jc w:val="center"/>
            </w:pPr>
            <w:r>
              <w:rPr>
                <w:b/>
              </w:rPr>
              <w:t xml:space="preserve">Лимит = 0,65% от капитала</w:t>
            </w:r>
            <w:r>
              <w:t xml:space="preserve"> Гаранта</w:t>
            </w:r>
            <w:r/>
          </w:p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7229" w:type="dxa"/>
            <w:vAlign w:val="center"/>
            <w:textDirection w:val="lrTb"/>
            <w:noWrap w:val="false"/>
          </w:tcPr>
          <w:p>
            <w:r>
              <w:t xml:space="preserve">Гаранту присвоен рейтинг долгосрочной кредитоспособности не ниже:</w:t>
            </w:r>
            <w:r/>
          </w:p>
          <w:p>
            <w:pPr>
              <w:numPr>
                <w:ilvl w:val="0"/>
                <w:numId w:val="2"/>
              </w:numPr>
              <w:jc w:val="both"/>
            </w:pPr>
            <w:r>
              <w:t xml:space="preserve">B- по классификации рейтинговых агентств </w:t>
            </w:r>
            <w:r>
              <w:t xml:space="preserve">Fitch</w:t>
            </w:r>
            <w:r>
              <w:t xml:space="preserve"> </w:t>
            </w:r>
            <w:r>
              <w:t xml:space="preserve">Ratings</w:t>
            </w:r>
            <w:r>
              <w:t xml:space="preserve"> или </w:t>
            </w:r>
            <w:r>
              <w:t xml:space="preserve">Standard</w:t>
            </w:r>
            <w:r>
              <w:t xml:space="preserve"> &amp; </w:t>
            </w:r>
            <w:r>
              <w:t xml:space="preserve">Poor’s</w:t>
            </w:r>
            <w:r/>
          </w:p>
          <w:p>
            <w:pPr>
              <w:numPr>
                <w:ilvl w:val="0"/>
                <w:numId w:val="2"/>
              </w:numPr>
              <w:jc w:val="both"/>
            </w:pPr>
            <w:r>
              <w:t xml:space="preserve">B3 по классификации </w:t>
            </w:r>
            <w:r>
              <w:t xml:space="preserve">Moody’s</w:t>
            </w:r>
            <w:r/>
          </w:p>
          <w:p>
            <w:pPr>
              <w:numPr>
                <w:ilvl w:val="0"/>
                <w:numId w:val="2"/>
              </w:numPr>
              <w:jc w:val="both"/>
            </w:pPr>
            <w:r>
              <w:t xml:space="preserve">ВВВ+(RU) по классификации АКРА</w:t>
            </w:r>
            <w:r/>
          </w:p>
          <w:p>
            <w:pPr>
              <w:numPr>
                <w:ilvl w:val="0"/>
                <w:numId w:val="2"/>
              </w:numPr>
              <w:jc w:val="both"/>
            </w:pPr>
            <w:r>
              <w:t xml:space="preserve">ruВВВ</w:t>
            </w:r>
            <w:r>
              <w:t xml:space="preserve">+ по классификации Эксперт РА</w:t>
            </w:r>
            <w:r/>
          </w:p>
          <w:p>
            <w:pPr>
              <w:numPr>
                <w:ilvl w:val="0"/>
                <w:numId w:val="2"/>
              </w:numPr>
              <w:jc w:val="both"/>
            </w:pPr>
            <w:r>
              <w:t xml:space="preserve">соответствующих уровней по классификации иных ведущих рейтинговых агентств</w:t>
            </w:r>
            <w:r/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или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r>
              <w:t xml:space="preserve">Преобладающий контроль (более 50% акционерного капитала Гаранта) прямо или косвенно принадлежит акционеру, имеющему рейтинг долгосрочной кредитоспособности не ниже:</w:t>
            </w:r>
            <w:r/>
          </w:p>
          <w:p>
            <w:pPr>
              <w:numPr>
                <w:ilvl w:val="0"/>
                <w:numId w:val="2"/>
              </w:numPr>
              <w:jc w:val="both"/>
            </w:pPr>
            <w:r>
              <w:t xml:space="preserve">B- по классификации рейтинговых агентств </w:t>
            </w:r>
            <w:r>
              <w:t xml:space="preserve">Fitch</w:t>
            </w:r>
            <w:r>
              <w:t xml:space="preserve"> </w:t>
            </w:r>
            <w:r>
              <w:t xml:space="preserve">Ratings</w:t>
            </w:r>
            <w:r>
              <w:t xml:space="preserve"> или </w:t>
            </w:r>
            <w:r>
              <w:t xml:space="preserve">Standard</w:t>
            </w:r>
            <w:r>
              <w:t xml:space="preserve"> &amp; </w:t>
            </w:r>
            <w:r>
              <w:t xml:space="preserve">Poor’s</w:t>
            </w:r>
            <w:r/>
          </w:p>
          <w:p>
            <w:pPr>
              <w:numPr>
                <w:ilvl w:val="0"/>
                <w:numId w:val="2"/>
              </w:numPr>
              <w:jc w:val="both"/>
            </w:pPr>
            <w:r>
              <w:t xml:space="preserve">B3 по классификации </w:t>
            </w:r>
            <w:r>
              <w:t xml:space="preserve">Moody’s</w:t>
            </w:r>
            <w:r/>
          </w:p>
          <w:p>
            <w:pPr>
              <w:numPr>
                <w:ilvl w:val="0"/>
                <w:numId w:val="2"/>
              </w:numPr>
              <w:jc w:val="both"/>
            </w:pPr>
            <w:r>
              <w:t xml:space="preserve">ВВВ+(RU) по классификации АКРА</w:t>
            </w:r>
            <w:r/>
          </w:p>
          <w:p>
            <w:pPr>
              <w:numPr>
                <w:ilvl w:val="0"/>
                <w:numId w:val="2"/>
              </w:numPr>
              <w:jc w:val="both"/>
            </w:pPr>
            <w:r>
              <w:t xml:space="preserve">ruВВВ</w:t>
            </w:r>
            <w:r>
              <w:t xml:space="preserve">+ по классификации Эксперт РА</w:t>
            </w:r>
            <w:r/>
          </w:p>
          <w:p>
            <w:pPr>
              <w:numPr>
                <w:ilvl w:val="0"/>
                <w:numId w:val="2"/>
              </w:numPr>
              <w:jc w:val="both"/>
            </w:pPr>
            <w:r>
              <w:t xml:space="preserve">соответствующих уровней по классификации иных ведущих рейтинговых агентств</w:t>
            </w:r>
            <w:r/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или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r>
              <w:t xml:space="preserve">В составе акционеров присутствуют международные финансовые институты, такие как Европейский банк реконструкции и развития (ЕБРР), Всемирный банк (ВБ) и Международная финансовая корпорация (IFC) и др.</w:t>
            </w:r>
            <w:r/>
          </w:p>
        </w:tc>
      </w:tr>
    </w:tbl>
    <w:p>
      <w:pPr>
        <w:spacing w:after="160" w:line="259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r/>
      <w:r/>
    </w:p>
    <w:p>
      <w:r/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885"/>
        <w:rPr>
          <w:rFonts w:ascii="Liberation Serif" w:hAnsi="Liberation Serif" w:cs="Liberation Serif"/>
        </w:rPr>
      </w:pPr>
      <w:r>
        <w:rPr>
          <w:rStyle w:val="887"/>
          <w:rFonts w:ascii="Liberation Serif" w:hAnsi="Liberation Serif" w:cs="Liberation Serif"/>
        </w:rPr>
        <w:footnoteRef/>
      </w:r>
      <w:r>
        <w:rPr>
          <w:rFonts w:ascii="Liberation Serif" w:hAnsi="Liberation Serif" w:cs="Liberation Serif"/>
        </w:rPr>
        <w:t xml:space="preserve"> Согласно документу, размещенному на официальном сайте Минфина РФ и доступного по адресу </w:t>
      </w:r>
      <w:hyperlink r:id="rId1" w:tooltip="https://minfin.gov.ru/ru/document/" w:history="1">
        <w:r>
          <w:rPr>
            <w:rStyle w:val="900"/>
            <w:rFonts w:ascii="Liberation Serif" w:hAnsi="Liberation Serif" w:cs="Liberation Serif"/>
          </w:rPr>
          <w:t xml:space="preserve">https://minfin.gov.ru/ru/document/</w:t>
        </w:r>
      </w:hyperlink>
      <w:r>
        <w:rPr>
          <w:rFonts w:ascii="Liberation Serif" w:hAnsi="Liberation Serif" w:cs="Liberation Serif"/>
        </w:rPr>
        <w:t xml:space="preserve">. В поисковой строке необходимо указать запрос «Банки, удовлетворяющие требованиям, установленным пунктом 1 части 1 статьи 45 Федерального закона от 05.04.2013 № 44-ФЗ» и использовать актуальный на момент принятия гарантии документ.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885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885"/>
      </w:pPr>
      <w:r/>
      <w:r/>
    </w:p>
  </w:footnote>
  <w:footnote w:id="3">
    <w:p>
      <w:pPr>
        <w:pStyle w:val="885"/>
      </w:pPr>
      <w:r>
        <w:rPr>
          <w:rStyle w:val="887"/>
        </w:rPr>
        <w:footnoteRef/>
      </w:r>
      <w:r>
        <w:t xml:space="preserve"> </w:t>
      </w:r>
      <w:r>
        <w:t xml:space="preserve">Согласно документу, размещенному на официальном сайте Минфина РФ и доступного по адресу </w:t>
      </w:r>
      <w:hyperlink r:id="rId2" w:tooltip="https://minfin.gov.ru/ru/document/" w:history="1">
        <w:r>
          <w:rPr>
            <w:rStyle w:val="900"/>
          </w:rPr>
          <w:t xml:space="preserve">https://minfin.gov.ru/ru/document/</w:t>
        </w:r>
      </w:hyperlink>
      <w:r>
        <w:t xml:space="preserve">. В поисковой строке необходимо указать запрос «Банки, удовлетворяющие требованиям, установленным пунктом 1 части 1 статьи 45 Федерального закона от 05.04.2013 № 44-ФЗ» и использовать актуальный на момент принятия гарантии документ.</w:t>
      </w:r>
      <w:r/>
    </w:p>
    <w:p>
      <w:pPr>
        <w:pStyle w:val="885"/>
      </w:pPr>
      <w:r/>
      <w:r/>
    </w:p>
    <w:p>
      <w:pPr>
        <w:pStyle w:val="885"/>
      </w:pPr>
      <w:r/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9">
    <w:name w:val="Heading 1"/>
    <w:basedOn w:val="881"/>
    <w:next w:val="881"/>
    <w:link w:val="71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10">
    <w:name w:val="Heading 1 Char"/>
    <w:basedOn w:val="882"/>
    <w:link w:val="709"/>
    <w:uiPriority w:val="9"/>
    <w:rPr>
      <w:rFonts w:ascii="Arial" w:hAnsi="Arial" w:eastAsia="Arial" w:cs="Arial"/>
      <w:sz w:val="40"/>
      <w:szCs w:val="40"/>
    </w:rPr>
  </w:style>
  <w:style w:type="paragraph" w:styleId="711">
    <w:name w:val="Heading 2"/>
    <w:basedOn w:val="881"/>
    <w:next w:val="881"/>
    <w:link w:val="71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12">
    <w:name w:val="Heading 2 Char"/>
    <w:basedOn w:val="882"/>
    <w:link w:val="711"/>
    <w:uiPriority w:val="9"/>
    <w:rPr>
      <w:rFonts w:ascii="Arial" w:hAnsi="Arial" w:eastAsia="Arial" w:cs="Arial"/>
      <w:sz w:val="34"/>
    </w:rPr>
  </w:style>
  <w:style w:type="paragraph" w:styleId="713">
    <w:name w:val="Heading 3"/>
    <w:basedOn w:val="881"/>
    <w:next w:val="881"/>
    <w:link w:val="71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14">
    <w:name w:val="Heading 3 Char"/>
    <w:basedOn w:val="882"/>
    <w:link w:val="713"/>
    <w:uiPriority w:val="9"/>
    <w:rPr>
      <w:rFonts w:ascii="Arial" w:hAnsi="Arial" w:eastAsia="Arial" w:cs="Arial"/>
      <w:sz w:val="30"/>
      <w:szCs w:val="30"/>
    </w:rPr>
  </w:style>
  <w:style w:type="paragraph" w:styleId="715">
    <w:name w:val="Heading 4"/>
    <w:basedOn w:val="881"/>
    <w:next w:val="881"/>
    <w:link w:val="71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16">
    <w:name w:val="Heading 4 Char"/>
    <w:basedOn w:val="882"/>
    <w:link w:val="715"/>
    <w:uiPriority w:val="9"/>
    <w:rPr>
      <w:rFonts w:ascii="Arial" w:hAnsi="Arial" w:eastAsia="Arial" w:cs="Arial"/>
      <w:b/>
      <w:bCs/>
      <w:sz w:val="26"/>
      <w:szCs w:val="26"/>
    </w:rPr>
  </w:style>
  <w:style w:type="paragraph" w:styleId="717">
    <w:name w:val="Heading 5"/>
    <w:basedOn w:val="881"/>
    <w:next w:val="881"/>
    <w:link w:val="71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8">
    <w:name w:val="Heading 5 Char"/>
    <w:basedOn w:val="882"/>
    <w:link w:val="717"/>
    <w:uiPriority w:val="9"/>
    <w:rPr>
      <w:rFonts w:ascii="Arial" w:hAnsi="Arial" w:eastAsia="Arial" w:cs="Arial"/>
      <w:b/>
      <w:bCs/>
      <w:sz w:val="24"/>
      <w:szCs w:val="24"/>
    </w:rPr>
  </w:style>
  <w:style w:type="paragraph" w:styleId="719">
    <w:name w:val="Heading 6"/>
    <w:basedOn w:val="881"/>
    <w:next w:val="881"/>
    <w:link w:val="72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20">
    <w:name w:val="Heading 6 Char"/>
    <w:basedOn w:val="882"/>
    <w:link w:val="719"/>
    <w:uiPriority w:val="9"/>
    <w:rPr>
      <w:rFonts w:ascii="Arial" w:hAnsi="Arial" w:eastAsia="Arial" w:cs="Arial"/>
      <w:b/>
      <w:bCs/>
      <w:sz w:val="22"/>
      <w:szCs w:val="22"/>
    </w:rPr>
  </w:style>
  <w:style w:type="paragraph" w:styleId="721">
    <w:name w:val="Heading 7"/>
    <w:basedOn w:val="881"/>
    <w:next w:val="881"/>
    <w:link w:val="72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22">
    <w:name w:val="Heading 7 Char"/>
    <w:basedOn w:val="882"/>
    <w:link w:val="72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23">
    <w:name w:val="Heading 8"/>
    <w:basedOn w:val="881"/>
    <w:next w:val="881"/>
    <w:link w:val="72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24">
    <w:name w:val="Heading 8 Char"/>
    <w:basedOn w:val="882"/>
    <w:link w:val="723"/>
    <w:uiPriority w:val="9"/>
    <w:rPr>
      <w:rFonts w:ascii="Arial" w:hAnsi="Arial" w:eastAsia="Arial" w:cs="Arial"/>
      <w:i/>
      <w:iCs/>
      <w:sz w:val="22"/>
      <w:szCs w:val="22"/>
    </w:rPr>
  </w:style>
  <w:style w:type="paragraph" w:styleId="725">
    <w:name w:val="Heading 9"/>
    <w:basedOn w:val="881"/>
    <w:next w:val="881"/>
    <w:link w:val="72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6">
    <w:name w:val="Heading 9 Char"/>
    <w:basedOn w:val="882"/>
    <w:link w:val="725"/>
    <w:uiPriority w:val="9"/>
    <w:rPr>
      <w:rFonts w:ascii="Arial" w:hAnsi="Arial" w:eastAsia="Arial" w:cs="Arial"/>
      <w:i/>
      <w:iCs/>
      <w:sz w:val="21"/>
      <w:szCs w:val="21"/>
    </w:rPr>
  </w:style>
  <w:style w:type="paragraph" w:styleId="727">
    <w:name w:val="Title"/>
    <w:basedOn w:val="881"/>
    <w:next w:val="881"/>
    <w:link w:val="72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8">
    <w:name w:val="Title Char"/>
    <w:basedOn w:val="882"/>
    <w:link w:val="727"/>
    <w:uiPriority w:val="10"/>
    <w:rPr>
      <w:sz w:val="48"/>
      <w:szCs w:val="48"/>
    </w:rPr>
  </w:style>
  <w:style w:type="paragraph" w:styleId="729">
    <w:name w:val="Subtitle"/>
    <w:basedOn w:val="881"/>
    <w:next w:val="881"/>
    <w:link w:val="730"/>
    <w:uiPriority w:val="11"/>
    <w:qFormat/>
    <w:pPr>
      <w:spacing w:before="200" w:after="200"/>
    </w:pPr>
    <w:rPr>
      <w:sz w:val="24"/>
      <w:szCs w:val="24"/>
    </w:rPr>
  </w:style>
  <w:style w:type="character" w:styleId="730">
    <w:name w:val="Subtitle Char"/>
    <w:basedOn w:val="882"/>
    <w:link w:val="729"/>
    <w:uiPriority w:val="11"/>
    <w:rPr>
      <w:sz w:val="24"/>
      <w:szCs w:val="24"/>
    </w:rPr>
  </w:style>
  <w:style w:type="paragraph" w:styleId="731">
    <w:name w:val="Quote"/>
    <w:basedOn w:val="881"/>
    <w:next w:val="881"/>
    <w:link w:val="732"/>
    <w:uiPriority w:val="29"/>
    <w:qFormat/>
    <w:pPr>
      <w:ind w:left="720" w:right="720"/>
    </w:pPr>
    <w:rPr>
      <w:i/>
    </w:rPr>
  </w:style>
  <w:style w:type="character" w:styleId="732">
    <w:name w:val="Quote Char"/>
    <w:link w:val="731"/>
    <w:uiPriority w:val="29"/>
    <w:rPr>
      <w:i/>
    </w:rPr>
  </w:style>
  <w:style w:type="paragraph" w:styleId="733">
    <w:name w:val="Intense Quote"/>
    <w:basedOn w:val="881"/>
    <w:next w:val="881"/>
    <w:link w:val="73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4">
    <w:name w:val="Intense Quote Char"/>
    <w:link w:val="733"/>
    <w:uiPriority w:val="30"/>
    <w:rPr>
      <w:i/>
    </w:rPr>
  </w:style>
  <w:style w:type="paragraph" w:styleId="735">
    <w:name w:val="Header"/>
    <w:basedOn w:val="881"/>
    <w:link w:val="73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6">
    <w:name w:val="Header Char"/>
    <w:basedOn w:val="882"/>
    <w:link w:val="735"/>
    <w:uiPriority w:val="99"/>
  </w:style>
  <w:style w:type="paragraph" w:styleId="737">
    <w:name w:val="Footer"/>
    <w:basedOn w:val="881"/>
    <w:link w:val="73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8">
    <w:name w:val="Footer Char"/>
    <w:basedOn w:val="882"/>
    <w:link w:val="737"/>
    <w:uiPriority w:val="99"/>
  </w:style>
  <w:style w:type="paragraph" w:styleId="739">
    <w:name w:val="Caption"/>
    <w:basedOn w:val="881"/>
    <w:next w:val="881"/>
    <w:link w:val="74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0">
    <w:name w:val="Caption Char"/>
    <w:basedOn w:val="882"/>
    <w:link w:val="739"/>
    <w:uiPriority w:val="35"/>
    <w:rPr>
      <w:b/>
      <w:bCs/>
      <w:color w:val="4f81bd" w:themeColor="accent1"/>
      <w:sz w:val="18"/>
      <w:szCs w:val="18"/>
    </w:rPr>
  </w:style>
  <w:style w:type="table" w:styleId="741">
    <w:name w:val="Table Grid Light"/>
    <w:basedOn w:val="88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2">
    <w:name w:val="Plain Table 1"/>
    <w:basedOn w:val="88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3">
    <w:name w:val="Plain Table 2"/>
    <w:basedOn w:val="88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4">
    <w:name w:val="Plain Table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5">
    <w:name w:val="Plain Table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Plain Table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7">
    <w:name w:val="Grid Table 1 Light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Grid Table 1 Light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Grid Table 1 Light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Grid Table 1 Light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Grid Table 1 Light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Grid Table 1 Light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Grid Table 1 Light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Grid Table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2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2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2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2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2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2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3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3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3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3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3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3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4"/>
    <w:basedOn w:val="8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9">
    <w:name w:val="Grid Table 4 - Accent 1"/>
    <w:basedOn w:val="8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0">
    <w:name w:val="Grid Table 4 - Accent 2"/>
    <w:basedOn w:val="8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1">
    <w:name w:val="Grid Table 4 - Accent 3"/>
    <w:basedOn w:val="8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72">
    <w:name w:val="Grid Table 4 - Accent 4"/>
    <w:basedOn w:val="8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3">
    <w:name w:val="Grid Table 4 - Accent 5"/>
    <w:basedOn w:val="8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74">
    <w:name w:val="Grid Table 4 - Accent 6"/>
    <w:basedOn w:val="8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75">
    <w:name w:val="Grid Table 5 Dark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76">
    <w:name w:val="Grid Table 5 Dark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777">
    <w:name w:val="Grid Table 5 Dark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78">
    <w:name w:val="Grid Table 5 Dark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79">
    <w:name w:val="Grid Table 5 Dark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80">
    <w:name w:val="Grid Table 5 Dark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781">
    <w:name w:val="Grid Table 5 Dark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82">
    <w:name w:val="Grid Table 6 Colorful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3">
    <w:name w:val="Grid Table 6 Colorful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84">
    <w:name w:val="Grid Table 6 Colorful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85">
    <w:name w:val="Grid Table 6 Colorful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86">
    <w:name w:val="Grid Table 6 Colorful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87">
    <w:name w:val="Grid Table 6 Colorful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8">
    <w:name w:val="Grid Table 6 Colorful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9">
    <w:name w:val="Grid Table 7 Colorful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7 Colorful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7 Colorful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7 Colorful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7 Colorful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7 Colorful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7 Colorful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List Table 1 Light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List Table 1 Light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List Table 1 Light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List Table 1 Light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List Table 1 Light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List Table 1 Light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List Table 1 Light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List Table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04">
    <w:name w:val="List Table 2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05">
    <w:name w:val="List Table 2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06">
    <w:name w:val="List Table 2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07">
    <w:name w:val="List Table 2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8">
    <w:name w:val="List Table 2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09">
    <w:name w:val="List Table 2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10">
    <w:name w:val="List Table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3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3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3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3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3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3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4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4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4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4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4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4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5 Dark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5">
    <w:name w:val="List Table 5 Dark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6">
    <w:name w:val="List Table 5 Dark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7">
    <w:name w:val="List Table 5 Dark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8">
    <w:name w:val="List Table 5 Dark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9">
    <w:name w:val="List Table 5 Dark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0">
    <w:name w:val="List Table 5 Dark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1">
    <w:name w:val="List Table 6 Colorful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32">
    <w:name w:val="List Table 6 Colorful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3">
    <w:name w:val="List Table 6 Colorful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34">
    <w:name w:val="List Table 6 Colorful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35">
    <w:name w:val="List Table 6 Colorful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36">
    <w:name w:val="List Table 6 Colorful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37">
    <w:name w:val="List Table 6 Colorful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8">
    <w:name w:val="List Table 7 Colorful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39">
    <w:name w:val="List Table 7 Colorful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840">
    <w:name w:val="List Table 7 Colorful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41">
    <w:name w:val="List Table 7 Colorful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42">
    <w:name w:val="List Table 7 Colorful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43">
    <w:name w:val="List Table 7 Colorful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844">
    <w:name w:val="List Table 7 Colorful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45">
    <w:name w:val="Lined - Accent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6">
    <w:name w:val="Lined - Accent 1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47">
    <w:name w:val="Lined - Accent 2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48">
    <w:name w:val="Lined - Accent 3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49">
    <w:name w:val="Lined - Accent 4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50">
    <w:name w:val="Lined - Accent 5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51">
    <w:name w:val="Lined - Accent 6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52">
    <w:name w:val="Bordered &amp; Lined - Accent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3">
    <w:name w:val="Bordered &amp; Lined - Accent 1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54">
    <w:name w:val="Bordered &amp; Lined - Accent 2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55">
    <w:name w:val="Bordered &amp; Lined - Accent 3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56">
    <w:name w:val="Bordered &amp; Lined - Accent 4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57">
    <w:name w:val="Bordered &amp; Lined - Accent 5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58">
    <w:name w:val="Bordered &amp; Lined - Accent 6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59">
    <w:name w:val="Bordered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60">
    <w:name w:val="Bordered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1">
    <w:name w:val="Bordered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62">
    <w:name w:val="Bordered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3">
    <w:name w:val="Bordered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64">
    <w:name w:val="Bordered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65">
    <w:name w:val="Bordered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66">
    <w:name w:val="Footnote Text Char"/>
    <w:link w:val="885"/>
    <w:uiPriority w:val="99"/>
    <w:rPr>
      <w:sz w:val="18"/>
    </w:rPr>
  </w:style>
  <w:style w:type="paragraph" w:styleId="867">
    <w:name w:val="endnote text"/>
    <w:basedOn w:val="881"/>
    <w:link w:val="868"/>
    <w:uiPriority w:val="99"/>
    <w:semiHidden/>
    <w:unhideWhenUsed/>
    <w:pPr>
      <w:spacing w:after="0" w:line="240" w:lineRule="auto"/>
    </w:pPr>
    <w:rPr>
      <w:sz w:val="20"/>
    </w:rPr>
  </w:style>
  <w:style w:type="character" w:styleId="868">
    <w:name w:val="Endnote Text Char"/>
    <w:link w:val="867"/>
    <w:uiPriority w:val="99"/>
    <w:rPr>
      <w:sz w:val="20"/>
    </w:rPr>
  </w:style>
  <w:style w:type="character" w:styleId="869">
    <w:name w:val="endnote reference"/>
    <w:basedOn w:val="882"/>
    <w:uiPriority w:val="99"/>
    <w:semiHidden/>
    <w:unhideWhenUsed/>
    <w:rPr>
      <w:vertAlign w:val="superscript"/>
    </w:rPr>
  </w:style>
  <w:style w:type="paragraph" w:styleId="870">
    <w:name w:val="toc 1"/>
    <w:basedOn w:val="881"/>
    <w:next w:val="881"/>
    <w:uiPriority w:val="39"/>
    <w:unhideWhenUsed/>
    <w:pPr>
      <w:ind w:left="0" w:right="0" w:firstLine="0"/>
      <w:spacing w:after="57"/>
    </w:pPr>
  </w:style>
  <w:style w:type="paragraph" w:styleId="871">
    <w:name w:val="toc 2"/>
    <w:basedOn w:val="881"/>
    <w:next w:val="881"/>
    <w:uiPriority w:val="39"/>
    <w:unhideWhenUsed/>
    <w:pPr>
      <w:ind w:left="283" w:right="0" w:firstLine="0"/>
      <w:spacing w:after="57"/>
    </w:pPr>
  </w:style>
  <w:style w:type="paragraph" w:styleId="872">
    <w:name w:val="toc 3"/>
    <w:basedOn w:val="881"/>
    <w:next w:val="881"/>
    <w:uiPriority w:val="39"/>
    <w:unhideWhenUsed/>
    <w:pPr>
      <w:ind w:left="567" w:right="0" w:firstLine="0"/>
      <w:spacing w:after="57"/>
    </w:pPr>
  </w:style>
  <w:style w:type="paragraph" w:styleId="873">
    <w:name w:val="toc 4"/>
    <w:basedOn w:val="881"/>
    <w:next w:val="881"/>
    <w:uiPriority w:val="39"/>
    <w:unhideWhenUsed/>
    <w:pPr>
      <w:ind w:left="850" w:right="0" w:firstLine="0"/>
      <w:spacing w:after="57"/>
    </w:pPr>
  </w:style>
  <w:style w:type="paragraph" w:styleId="874">
    <w:name w:val="toc 5"/>
    <w:basedOn w:val="881"/>
    <w:next w:val="881"/>
    <w:uiPriority w:val="39"/>
    <w:unhideWhenUsed/>
    <w:pPr>
      <w:ind w:left="1134" w:right="0" w:firstLine="0"/>
      <w:spacing w:after="57"/>
    </w:pPr>
  </w:style>
  <w:style w:type="paragraph" w:styleId="875">
    <w:name w:val="toc 6"/>
    <w:basedOn w:val="881"/>
    <w:next w:val="881"/>
    <w:uiPriority w:val="39"/>
    <w:unhideWhenUsed/>
    <w:pPr>
      <w:ind w:left="1417" w:right="0" w:firstLine="0"/>
      <w:spacing w:after="57"/>
    </w:pPr>
  </w:style>
  <w:style w:type="paragraph" w:styleId="876">
    <w:name w:val="toc 7"/>
    <w:basedOn w:val="881"/>
    <w:next w:val="881"/>
    <w:uiPriority w:val="39"/>
    <w:unhideWhenUsed/>
    <w:pPr>
      <w:ind w:left="1701" w:right="0" w:firstLine="0"/>
      <w:spacing w:after="57"/>
    </w:pPr>
  </w:style>
  <w:style w:type="paragraph" w:styleId="877">
    <w:name w:val="toc 8"/>
    <w:basedOn w:val="881"/>
    <w:next w:val="881"/>
    <w:uiPriority w:val="39"/>
    <w:unhideWhenUsed/>
    <w:pPr>
      <w:ind w:left="1984" w:right="0" w:firstLine="0"/>
      <w:spacing w:after="57"/>
    </w:pPr>
  </w:style>
  <w:style w:type="paragraph" w:styleId="878">
    <w:name w:val="toc 9"/>
    <w:basedOn w:val="881"/>
    <w:next w:val="881"/>
    <w:uiPriority w:val="39"/>
    <w:unhideWhenUsed/>
    <w:pPr>
      <w:ind w:left="2268" w:right="0" w:firstLine="0"/>
      <w:spacing w:after="57"/>
    </w:pPr>
  </w:style>
  <w:style w:type="paragraph" w:styleId="879">
    <w:name w:val="TOC Heading"/>
    <w:uiPriority w:val="39"/>
    <w:unhideWhenUsed/>
  </w:style>
  <w:style w:type="paragraph" w:styleId="880">
    <w:name w:val="table of figures"/>
    <w:basedOn w:val="881"/>
    <w:next w:val="881"/>
    <w:uiPriority w:val="99"/>
    <w:unhideWhenUsed/>
    <w:pPr>
      <w:spacing w:after="0" w:afterAutospacing="0"/>
    </w:pPr>
  </w:style>
  <w:style w:type="paragraph" w:styleId="881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82" w:default="1">
    <w:name w:val="Default Paragraph Font"/>
    <w:uiPriority w:val="1"/>
    <w:semiHidden/>
    <w:unhideWhenUsed/>
  </w:style>
  <w:style w:type="table" w:styleId="88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84" w:default="1">
    <w:name w:val="No List"/>
    <w:uiPriority w:val="99"/>
    <w:semiHidden/>
    <w:unhideWhenUsed/>
  </w:style>
  <w:style w:type="paragraph" w:styleId="885">
    <w:name w:val="footnote text"/>
    <w:basedOn w:val="881"/>
    <w:link w:val="886"/>
    <w:rPr>
      <w:sz w:val="20"/>
      <w:szCs w:val="20"/>
    </w:rPr>
  </w:style>
  <w:style w:type="character" w:styleId="886" w:customStyle="1">
    <w:name w:val="Текст сноски Знак"/>
    <w:basedOn w:val="882"/>
    <w:link w:val="885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87">
    <w:name w:val="footnote reference"/>
    <w:basedOn w:val="882"/>
    <w:uiPriority w:val="99"/>
    <w:rPr>
      <w:vertAlign w:val="superscript"/>
    </w:rPr>
  </w:style>
  <w:style w:type="paragraph" w:styleId="888">
    <w:name w:val="Body Text"/>
    <w:basedOn w:val="881"/>
    <w:link w:val="889"/>
    <w:pPr>
      <w:ind w:firstLine="567"/>
      <w:jc w:val="both"/>
      <w:spacing w:after="120" w:line="360" w:lineRule="auto"/>
    </w:pPr>
    <w:rPr>
      <w:sz w:val="28"/>
      <w:szCs w:val="20"/>
    </w:rPr>
  </w:style>
  <w:style w:type="character" w:styleId="889" w:customStyle="1">
    <w:name w:val="Основной текст Знак"/>
    <w:basedOn w:val="882"/>
    <w:link w:val="888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890" w:customStyle="1">
    <w:name w:val="Обычный1"/>
    <w:link w:val="894"/>
    <w:uiPriority w:val="99"/>
    <w:pPr>
      <w:spacing w:before="100" w:after="100" w:line="240" w:lineRule="auto"/>
    </w:pPr>
    <w:rPr>
      <w:rFonts w:ascii="Times New Roman" w:hAnsi="Times New Roman" w:eastAsia="Calibri" w:cs="Times New Roman"/>
      <w:sz w:val="24"/>
      <w:szCs w:val="20"/>
      <w:lang w:eastAsia="ru-RU"/>
    </w:rPr>
  </w:style>
  <w:style w:type="paragraph" w:styleId="891">
    <w:name w:val="No Spacing"/>
    <w:link w:val="893"/>
    <w:uiPriority w:val="1"/>
    <w:qFormat/>
    <w:pPr>
      <w:spacing w:after="0" w:line="240" w:lineRule="auto"/>
    </w:pPr>
    <w:rPr>
      <w:rFonts w:ascii="Calibri" w:hAnsi="Calibri" w:eastAsia="Times New Roman" w:cs="Times New Roman"/>
      <w:lang w:eastAsia="ru-RU"/>
    </w:rPr>
  </w:style>
  <w:style w:type="paragraph" w:styleId="892" w:customStyle="1">
    <w:name w:val="normalcxspmiddle"/>
    <w:basedOn w:val="881"/>
    <w:pPr>
      <w:spacing w:before="100" w:beforeAutospacing="1" w:after="100" w:afterAutospacing="1"/>
    </w:pPr>
  </w:style>
  <w:style w:type="character" w:styleId="893" w:customStyle="1">
    <w:name w:val="Без интервала Знак"/>
    <w:basedOn w:val="882"/>
    <w:link w:val="891"/>
    <w:uiPriority w:val="1"/>
    <w:rPr>
      <w:rFonts w:ascii="Calibri" w:hAnsi="Calibri" w:eastAsia="Times New Roman" w:cs="Times New Roman"/>
      <w:lang w:eastAsia="ru-RU"/>
    </w:rPr>
  </w:style>
  <w:style w:type="character" w:styleId="894" w:customStyle="1">
    <w:name w:val="Обычный Char Char"/>
    <w:link w:val="890"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paragraph" w:styleId="895" w:customStyle="1">
    <w:name w:val="Text Body.td-text"/>
    <w:basedOn w:val="881"/>
    <w:pPr>
      <w:ind w:left="108" w:right="108"/>
      <w:spacing w:after="6"/>
      <w:widowControl w:val="off"/>
      <w:suppressLineNumbers/>
    </w:pPr>
    <w:rPr>
      <w:sz w:val="17"/>
      <w:szCs w:val="17"/>
      <w:lang w:eastAsia="zh-CN" w:bidi="hi-IN"/>
    </w:rPr>
  </w:style>
  <w:style w:type="paragraph" w:styleId="896" w:customStyle="1">
    <w:name w:val="Text Body.text-center"/>
    <w:basedOn w:val="881"/>
    <w:pPr>
      <w:jc w:val="center"/>
      <w:keepLines/>
      <w:spacing w:after="3"/>
      <w:widowControl w:val="off"/>
      <w:suppressLineNumbers/>
    </w:pPr>
    <w:rPr>
      <w:sz w:val="17"/>
      <w:szCs w:val="17"/>
      <w:lang w:eastAsia="zh-CN" w:bidi="hi-IN"/>
    </w:rPr>
  </w:style>
  <w:style w:type="paragraph" w:styleId="897" w:customStyle="1">
    <w:name w:val="Text Body.text-footer"/>
    <w:basedOn w:val="881"/>
    <w:pPr>
      <w:jc w:val="center"/>
      <w:keepLines/>
      <w:spacing w:after="3"/>
      <w:widowControl w:val="off"/>
      <w:suppressLineNumbers/>
    </w:pPr>
    <w:rPr>
      <w:sz w:val="17"/>
      <w:szCs w:val="17"/>
      <w:lang w:eastAsia="zh-CN" w:bidi="hi-IN"/>
    </w:rPr>
  </w:style>
  <w:style w:type="character" w:styleId="898" w:customStyle="1">
    <w:name w:val="Абзац списка Знак"/>
    <w:link w:val="899"/>
    <w:uiPriority w:val="34"/>
    <w:qFormat/>
    <w:rPr>
      <w:rFonts w:ascii="Calibri" w:hAnsi="Calibri" w:eastAsia="Calibri" w:cs="Times New Roman"/>
    </w:rPr>
  </w:style>
  <w:style w:type="paragraph" w:styleId="899">
    <w:name w:val="List Paragraph"/>
    <w:basedOn w:val="881"/>
    <w:link w:val="898"/>
    <w:uiPriority w:val="34"/>
    <w:qFormat/>
    <w:pPr>
      <w:contextualSpacing/>
      <w:ind w:left="720"/>
      <w:spacing w:after="160" w:line="256" w:lineRule="auto"/>
    </w:pPr>
    <w:rPr>
      <w:rFonts w:ascii="Calibri" w:hAnsi="Calibri" w:eastAsia="Calibri"/>
      <w:sz w:val="22"/>
      <w:szCs w:val="22"/>
      <w:lang w:eastAsia="en-US"/>
    </w:rPr>
  </w:style>
  <w:style w:type="character" w:styleId="900">
    <w:name w:val="Hyperlink"/>
    <w:uiPriority w:val="99"/>
    <w:semiHidden/>
    <w:unhideWhenUsed/>
    <w:rPr>
      <w:color w:val="0000ff"/>
      <w:u w:val="single"/>
    </w:rPr>
  </w:style>
  <w:style w:type="character" w:styleId="901" w:customStyle="1">
    <w:name w:val="Пункт Знак1"/>
    <w:link w:val="902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902" w:customStyle="1">
    <w:name w:val="Пункт"/>
    <w:basedOn w:val="881"/>
    <w:link w:val="901"/>
    <w:pPr>
      <w:jc w:val="both"/>
      <w:spacing w:line="360" w:lineRule="auto"/>
    </w:pPr>
    <w:rPr>
      <w:sz w:val="28"/>
      <w:szCs w:val="20"/>
    </w:rPr>
  </w:style>
  <w:style w:type="table" w:styleId="903" w:customStyle="1">
    <w:name w:val="Сетка таблицы2"/>
    <w:basedOn w:val="883"/>
    <w:next w:val="904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04">
    <w:name w:val="Table Grid"/>
    <w:basedOn w:val="883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Relationship Id="rId1" Type="http://schemas.openxmlformats.org/officeDocument/2006/relationships/hyperlink" Target="https://minfin.gov.ru/ru/document/" TargetMode="External"/><Relationship Id="rId2" Type="http://schemas.openxmlformats.org/officeDocument/2006/relationships/hyperlink" Target="https://minfin.gov.ru/ru/document/" TargetMode="External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LLC BashRTS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Пугач-Пугачевич Елена Витальевна</dc:creator>
  <cp:keywords/>
  <dc:description/>
  <cp:lastModifiedBy>oleshko_vn</cp:lastModifiedBy>
  <cp:revision>15</cp:revision>
  <dcterms:created xsi:type="dcterms:W3CDTF">2024-12-26T09:31:00Z</dcterms:created>
  <dcterms:modified xsi:type="dcterms:W3CDTF">2026-01-16T11:32:41Z</dcterms:modified>
</cp:coreProperties>
</file>